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SOL-07_intake_dedup_writer</w:t>
      </w:r>
    </w:p>
    <w:bookmarkStart w:id="18" w:name="X8202d279a03548fe0f7811b3593f22bff8142b4"/>
    <w:p>
      <w:pPr>
        <w:pStyle w:val="Heading1"/>
      </w:pPr>
      <w:r>
        <w:t xml:space="preserve">SOL-07 — Recurrence Intake: Dedup Verdict + Writer-Repair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2026-07-22T21:40:00Z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PC-6 (recurrence fragmentation silencing the fragility signal) + the corpus-2 writer-repair rule (value-fix vs invariant-fix)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intake (before an id is minted) + status-write (closure-kind check, composing with SOL-01)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poc/sol07_intake_dedup/</w:t>
              </w:r>
            </w:hyperlink>
            <w:r>
              <w:t xml:space="preserve"> </w:t>
            </w:r>
            <w:r>
              <w:t xml:space="preserve">— GREEN 5/5, RED-first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§11.4.214 (recurrence-links-not-mints), §11.4.186 keying, corpus-2 §7.3 (writer-repair — distilled, not yet an anchor)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15 first-touch tickets ≈ 9 root causes; 4 high-confidence recurrences of "done" items</w:t>
      </w:r>
      <w:r>
        <w:rPr>
          <w:b/>
          <w:bCs/>
        </w:rPr>
        <w:t xml:space="preserve"> </w:t>
      </w:r>
      <w:r>
        <w:rPr>
          <w:b/>
          <w:bCs/>
        </w:rPr>
        <w:t xml:space="preserve">entered as NEW ids</w:t>
      </w:r>
      <w:r>
        <w:t xml:space="preserve"> </w:t>
      </w:r>
      <w:r>
        <w:t xml:space="preserve">[M15]; ≥5 recurrence chains re-entered under fresh ids, so the</w:t>
      </w:r>
      <w:r>
        <w:t xml:space="preserve"> </w:t>
      </w:r>
      <w:r>
        <w:t xml:space="preserve">reopens-count — the exact signal §11.4.132(d)/§11.4.189 rank fragility by — stayed quiet</w:t>
      </w:r>
      <w:r>
        <w:t xml:space="preserve"> </w:t>
      </w:r>
      <w:r>
        <w:t xml:space="preserve">precisely on the items that kept breaking. The 52% reopen rate is a proven undercount [M3].</w:t>
      </w:r>
    </w:p>
    <w:p>
      <w:pPr>
        <w:pStyle w:val="Compact"/>
        <w:numPr>
          <w:ilvl w:val="0"/>
          <w:numId w:val="1001"/>
        </w:numPr>
      </w:pPr>
      <w:r>
        <w:t xml:space="preserve">Corpus 2 (no tracker):</w:t>
      </w:r>
      <w:r>
        <w:t xml:space="preserve"> </w:t>
      </w:r>
      <w:r>
        <w:rPr>
          <w:b/>
          <w:bCs/>
        </w:rPr>
        <w:t xml:space="preserve">11 multi-attempt chains, median 3, max 7 attempts; 38 same-scope</w:t>
      </w:r>
      <w:r>
        <w:rPr>
          <w:b/>
          <w:bCs/>
        </w:rPr>
        <w:t xml:space="preserve"> </w:t>
      </w:r>
      <w:r>
        <w:rPr>
          <w:b/>
          <w:bCs/>
        </w:rPr>
        <w:t xml:space="preserve">fix→fix pairs within 24 h — half of all fixes were followed within a day by another fix to</w:t>
      </w:r>
      <w:r>
        <w:rPr>
          <w:b/>
          <w:bCs/>
        </w:rPr>
        <w:t xml:space="preserve"> </w:t>
      </w:r>
      <w:r>
        <w:rPr>
          <w:b/>
          <w:bCs/>
        </w:rPr>
        <w:t xml:space="preserve">the same subsystem.</w:t>
      </w:r>
      <w:r>
        <w:t xml:space="preserve"> </w:t>
      </w:r>
      <w:r>
        <w:t xml:space="preserve">"A fix is, empirically, a ~50%-probability hypothesis until it survives</w:t>
      </w:r>
      <w:r>
        <w:t xml:space="preserve"> </w:t>
      </w:r>
      <w:r>
        <w:t xml:space="preserve">its first day in the field" (corpus 2 §7.2).</w:t>
      </w:r>
    </w:p>
    <w:p>
      <w:pPr>
        <w:pStyle w:val="Compact"/>
        <w:numPr>
          <w:ilvl w:val="0"/>
          <w:numId w:val="1001"/>
        </w:numPr>
      </w:pPr>
      <w:r>
        <w:t xml:space="preserve">The fossil case (corpus 2 §3): a</w:t>
      </w:r>
      <w:r>
        <w:t xml:space="preserve"> </w:t>
      </w:r>
      <w:r>
        <w:rPr>
          <w:b/>
          <w:bCs/>
        </w:rPr>
        <w:t xml:space="preserve">value-fix</w:t>
      </w:r>
      <w:r>
        <w:t xml:space="preserve"> </w:t>
      </w:r>
      <w:r>
        <w:t xml:space="preserve">(repointed the stored endpoint) held ~7 hours —</w:t>
      </w:r>
      <w:r>
        <w:t xml:space="preserve"> </w:t>
      </w:r>
      <w:r>
        <w:t xml:space="preserve">the recurrence horizon of the defective</w:t>
      </w:r>
      <w:r>
        <w:t xml:space="preserve"> </w:t>
      </w:r>
      <w:r>
        <w:rPr>
          <w:b/>
          <w:bCs/>
        </w:rPr>
        <w:t xml:space="preserve">writer</w:t>
      </w:r>
      <w:r>
        <w:t xml:space="preserve"> </w:t>
      </w:r>
      <w:r>
        <w:t xml:space="preserve">that kept re-stamping it. Same-day</w:t>
      </w:r>
      <w:r>
        <w:t xml:space="preserve"> </w:t>
      </w:r>
      <w:r>
        <w:t xml:space="preserve">siblings: a regen-lost setting, a stale bundled artifact. General law:</w:t>
      </w:r>
      <w:r>
        <w:t xml:space="preserve"> </w:t>
      </w:r>
      <w:r>
        <w:rPr>
          <w:i/>
          <w:iCs/>
        </w:rPr>
        <w:t xml:space="preserve">a fix that repairs</w:t>
      </w:r>
      <w:r>
        <w:rPr>
          <w:i/>
          <w:iCs/>
        </w:rPr>
        <w:t xml:space="preserve"> </w:t>
      </w:r>
      <w:r>
        <w:rPr>
          <w:i/>
          <w:iCs/>
        </w:rPr>
        <w:t xml:space="preserve">the artifact a defective writer produced, without repairing the writer, has a guaranteed</w:t>
      </w:r>
      <w:r>
        <w:rPr>
          <w:i/>
          <w:iCs/>
        </w:rPr>
        <w:t xml:space="preserve"> </w:t>
      </w:r>
      <w:r>
        <w:rPr>
          <w:i/>
          <w:iCs/>
        </w:rPr>
        <w:t xml:space="preserve">recurrence horizon equal to the writer's next execution.</w:t>
      </w:r>
    </w:p>
    <w:p>
      <w:pPr>
        <w:pStyle w:val="Compact"/>
        <w:numPr>
          <w:ilvl w:val="0"/>
          <w:numId w:val="1001"/>
        </w:numPr>
      </w:pPr>
      <w:r>
        <w:t xml:space="preserve">The false-merge counter-case that bounds the design: one suspected same-defect pair was</w:t>
      </w:r>
      <w:r>
        <w:t xml:space="preserve"> </w:t>
      </w:r>
      <w:r>
        <w:t xml:space="preserve">proven</w:t>
      </w:r>
      <w:r>
        <w:t xml:space="preserve"> </w:t>
      </w:r>
      <w:r>
        <w:rPr>
          <w:b/>
          <w:bCs/>
        </w:rPr>
        <w:t xml:space="preserve">distinct</w:t>
      </w:r>
      <w:r>
        <w:t xml:space="preserve"> </w:t>
      </w:r>
      <w:r>
        <w:t xml:space="preserve">on close reading [M15]; corpus 3's only fuzzy-title match (HXC-052/053)</w:t>
      </w:r>
      <w:r>
        <w:t xml:space="preserve"> </w:t>
      </w:r>
      <w:r>
        <w:t xml:space="preserve">is two genuinely distinct instances of one class in two modules — auto-merge would have</w:t>
      </w:r>
      <w:r>
        <w:t xml:space="preserve"> </w:t>
      </w:r>
      <w:r>
        <w:t xml:space="preserve">silently deleted a real defect.</w:t>
      </w:r>
    </w:p>
    <w:p>
      <w:pPr>
        <w:pStyle w:val="Compact"/>
        <w:numPr>
          <w:ilvl w:val="0"/>
          <w:numId w:val="1001"/>
        </w:numPr>
      </w:pPr>
      <w:r>
        <w:t xml:space="preserve">External baseline (R4.5, S51/S52): tracker duplicate rates run 10–30%, and up to 23% of true</w:t>
      </w:r>
      <w:r>
        <w:t xml:space="preserve"> </w:t>
      </w:r>
      <w:r>
        <w:t xml:space="preserve">duplicates are</w:t>
      </w:r>
      <w:r>
        <w:t xml:space="preserve"> </w:t>
      </w:r>
      <w:r>
        <w:rPr>
          <w:i/>
          <w:iCs/>
        </w:rPr>
        <w:t xml:space="preserve">textually dissimilar</w:t>
      </w:r>
      <w:r>
        <w:t xml:space="preserve"> </w:t>
      </w:r>
      <w:r>
        <w:t xml:space="preserve">— bare-substring keying is known-broken; the ~40%</w:t>
      </w:r>
      <w:r>
        <w:t xml:space="preserve"> </w:t>
      </w:r>
      <w:r>
        <w:t xml:space="preserve">duplication here exceeds every published band.</w:t>
      </w:r>
    </w:p>
    <w:bookmarkEnd w:id="10"/>
    <w:bookmarkStart w:id="14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drawing>
          <wp:inline>
            <wp:extent cx="5334000" cy="3850821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SOL-07_intake_dedup_writer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0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Dedup at intake, keyed on normalized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(subject-tokens, scope)</w:t>
      </w:r>
      <w:r>
        <w:t xml:space="preserve"> </w:t>
      </w:r>
      <w:r>
        <w:t xml:space="preserve">— never bare substring</w:t>
      </w:r>
      <w:r>
        <w:t xml:space="preserve"> </w:t>
      </w:r>
      <w:r>
        <w:t xml:space="preserve">(§11.4.186). The verdict is three-valued by construction: DISTINCT → mint;</w:t>
      </w:r>
      <w:r>
        <w:t xml:space="preserve"> </w:t>
      </w:r>
      <w:r>
        <w:t xml:space="preserve">SAME-DEFECT-CANDIDATE →</w:t>
      </w:r>
      <w:r>
        <w:t xml:space="preserve"> </w:t>
      </w:r>
      <w:r>
        <w:rPr>
          <w:b/>
          <w:bCs/>
        </w:rPr>
        <w:t xml:space="preserve">mint-with-link</w:t>
      </w:r>
      <w:r>
        <w:t xml:space="preserve"> </w:t>
      </w:r>
      <w:r>
        <w:t xml:space="preserve">(the §11.4.214(3) autonomous default: a spurious</w:t>
      </w:r>
      <w:r>
        <w:t xml:space="preserve"> </w:t>
      </w:r>
      <w:r>
        <w:t xml:space="preserve">id is recoverable, a wrongly-merged defect is LOST — the tool never auto-merges); blind</w:t>
      </w:r>
      <w:r>
        <w:t xml:space="preserve"> </w:t>
      </w:r>
      <w:r>
        <w:t xml:space="preserve">input → exit 2. Reopening flows through SOL-01's staged-attribution seam, so the restored</w:t>
      </w:r>
      <w:r>
        <w:t xml:space="preserve"> </w:t>
      </w:r>
      <w:r>
        <w:t xml:space="preserve">signal is also a custodied signal.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Fix-kind classification at closure</w:t>
      </w:r>
      <w:r>
        <w:t xml:space="preserve">: a defect whose shape is</w:t>
      </w:r>
      <w: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(wrong config value</w:t>
      </w:r>
      <w:r>
        <w:t xml:space="preserve"> </w:t>
      </w:r>
      <w:r>
        <w:t xml:space="preserve">/ generated artifact / cache entry / route / marker) cannot be closed by a</w:t>
      </w:r>
      <w:r>
        <w:t xml:space="preserve"> </w:t>
      </w:r>
      <w:r>
        <w:rPr>
          <w:i/>
          <w:iCs/>
        </w:rPr>
        <w:t xml:space="preserve">state-repair</w:t>
      </w:r>
      <w:r>
        <w:t xml:space="preserve"> </w:t>
      </w:r>
      <w:r>
        <w:t xml:space="preserve">alone — the closure is refused with the recurrence-horizon message;</w:t>
      </w:r>
      <w:r>
        <w:t xml:space="preserve"> </w:t>
      </w:r>
      <w:r>
        <w:rPr>
          <w:rStyle w:val="VerbatimChar"/>
        </w:rPr>
        <w:t xml:space="preserve">writer-repair</w:t>
      </w:r>
      <w:r>
        <w:t xml:space="preserve"> </w:t>
      </w:r>
      <w:r>
        <w:t xml:space="preserve">(the writer fixed + the state corrected + a seam asserting the invariant) closes normally.</w:t>
      </w:r>
      <w:r>
        <w:t xml:space="preserve"> </w:t>
      </w:r>
      <w:r>
        <w:t xml:space="preserve">This is corpus 2's §7.3 rule as a refusing check instead of a distillation.</w:t>
      </w:r>
    </w:p>
    <w:bookmarkEnd w:id="14"/>
    <w:bookmarkStart w:id="15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t xml:space="preserve">RED → GREEN</w:t>
      </w:r>
      <w:r>
        <w:t xml:space="preserve"> </w:t>
      </w:r>
      <w:r>
        <w:rPr>
          <w:b/>
          <w:bCs/>
        </w:rPr>
        <w:t xml:space="preserve">5/5</w:t>
      </w:r>
      <w:r>
        <w:t xml:space="preserve">: new item mints; recurrence of a closed overlay defect returns</w:t>
      </w:r>
      <w:r>
        <w:t xml:space="preserve"> </w:t>
      </w:r>
      <w:r>
        <w:rPr>
          <w:rStyle w:val="VerbatimChar"/>
        </w:rPr>
        <w:t xml:space="preserve">SAME-DEFECT-CANDIDATE: ATM-100</w:t>
      </w:r>
      <w:r>
        <w:t xml:space="preserve"> </w:t>
      </w:r>
      <w:r>
        <w:t xml:space="preserve">(link + reopen-head, not a silent new id); the HXC-052/053</w:t>
      </w:r>
      <w:r>
        <w:t xml:space="preserve"> </w:t>
      </w:r>
      <w:r>
        <w:t xml:space="preserve">archetype (same class, different scope) stays DISTINCT — the false-merge guard; state+state-</w:t>
      </w:r>
      <w:r>
        <w:t xml:space="preserve"> </w:t>
      </w:r>
      <w:r>
        <w:t xml:space="preserve">repair closure refused with the horizon message; state+writer-repair closes.</w:t>
      </w:r>
    </w:p>
    <w:bookmarkEnd w:id="15"/>
    <w:bookmarkStart w:id="16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A recurrence can no longer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enter as an unlinked new id through a wired intake path —</w:t>
      </w:r>
      <w:r>
        <w:t xml:space="preserve"> </w:t>
      </w:r>
      <w:r>
        <w:t xml:space="preserve">every mint above the similarity threshold carries a candidate link, and reopens of terminal</w:t>
      </w:r>
      <w:r>
        <w:t xml:space="preserve"> </w:t>
      </w:r>
      <w:r>
        <w:t xml:space="preserve">heads increment the counter that feeds risk-ordering. A state-shaped defect can no longer be</w:t>
      </w:r>
      <w:r>
        <w:t xml:space="preserve"> </w:t>
      </w:r>
      <w:r>
        <w:t xml:space="preserve">marked terminal on a value-fix — the ~7-hour-horizon closure class is refused at the seam.</w:t>
      </w:r>
    </w:p>
    <w:bookmarkEnd w:id="16"/>
    <w:bookmarkStart w:id="17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Textually-dissimilar duplicates</w:t>
      </w:r>
      <w:r>
        <w:t xml:space="preserve"> </w:t>
      </w:r>
      <w:r>
        <w:t xml:space="preserve">(up to 23% in the literature) fall below any token</w:t>
      </w:r>
      <w:r>
        <w:t xml:space="preserve"> </w:t>
      </w:r>
      <w:r>
        <w:t xml:space="preserve">threshold — the tool reduces, not eliminates, fragmentation; the negative pressure for the</w:t>
      </w:r>
      <w:r>
        <w:t xml:space="preserve"> </w:t>
      </w:r>
      <w:r>
        <w:t xml:space="preserve">remainder is SOL-09's re-look scheduling plus human triage on the linked candidates.</w:t>
      </w:r>
      <w:r>
        <w:t xml:space="preserve"> </w:t>
      </w:r>
      <w:r>
        <w:t xml:space="preserve">UNPROVEN: threshold calibration (50% Jaccard in the POC) against a real corpus — a</w:t>
      </w:r>
      <w:r>
        <w:t xml:space="preserve"> </w:t>
      </w:r>
      <w:r>
        <w:t xml:space="preserve">§11.4.201(8)-style calibration run on the historical 15→9 set is owed at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Defect-shape labelling is authored</w:t>
      </w:r>
      <w:r>
        <w:t xml:space="preserve"> </w:t>
      </w:r>
      <w:r>
        <w:t xml:space="preserve">— declaring a state defect "behaviour" evades the</w:t>
      </w:r>
      <w:r>
        <w:t xml:space="preserve"> </w:t>
      </w:r>
      <w:r>
        <w:t xml:space="preserve">fix-kind check; detective countermeasure only (review sees the item description).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Cross-scope recurrences of one defect</w:t>
      </w:r>
      <w:r>
        <w:t xml:space="preserve"> </w:t>
      </w:r>
      <w:r>
        <w:t xml:space="preserve">(scope moved between modules) read DISTINCT by</w:t>
      </w:r>
      <w:r>
        <w:t xml:space="preserve"> </w:t>
      </w:r>
      <w:r>
        <w:t xml:space="preserve">design — the exact trade the HXC-052/053 negative control demands; the linked-candidate</w:t>
      </w:r>
      <w:r>
        <w:t xml:space="preserve"> </w:t>
      </w:r>
      <w:r>
        <w:t xml:space="preserve">output for near-threshold cross-scope pairs is a possible extension, not claimed.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poc/sol07_intake_dedu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7_intake_dedu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SOL-07_intake_dedup_writer</dc:title>
  <dc:creator/>
  <dc:language>en</dc:language>
  <cp:keywords/>
  <dcterms:created xsi:type="dcterms:W3CDTF">2026-07-24T00:59:44Z</dcterms:created>
  <dcterms:modified xsi:type="dcterms:W3CDTF">2026-07-24T00:59:44Z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