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SOL-10_mu_layer</w:t>
      </w:r>
    </w:p>
    <w:bookmarkStart w:id="18" w:name="sol-10--misunderstanding-layer-mechanics"/>
    <w:p>
      <w:pPr>
        <w:pStyle w:val="Heading1"/>
      </w:pPr>
      <w:r>
        <w:t xml:space="preserve">SOL-10 — Misunderstanding-Layer Mechanics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2026-07-22T21:55:00Z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MU-1 (machine-derived state blocks), MU-2 (verdict citation-fencing), MU-3 (seam declarations) — the DECIDABLE subset of the misunderstanding layer; MU-6 shares SOL-03's count⇒lines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commit (state blocks + fences in docs) + dispatch (seam check on plans)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poc/sol10_mu_layer/</w:t>
              </w:r>
            </w:hyperlink>
            <w:r>
              <w:t xml:space="preserve"> </w:t>
            </w:r>
            <w:r>
              <w:t xml:space="preserve">— GREEN 7/7, RED-first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§11.4.205(4)(5), §11.4.112(5), §11.4.120 seam-placement clause</w:t>
            </w:r>
          </w:p>
        </w:tc>
      </w:tr>
    </w:tbl>
    <w:bookmarkStart w:id="10" w:name="X2a876ae65ac97cdadd7a4a7159fb2dbe4a22686"/>
    <w:p>
      <w:pPr>
        <w:pStyle w:val="Heading2"/>
      </w:pPr>
      <w:r>
        <w:t xml:space="preserve">1. The measured problem</w:t>
      </w:r>
    </w:p>
    <w:p>
      <w:pPr>
        <w:pStyle w:val="FirstParagraph"/>
      </w:pPr>
      <w:r>
        <w:t xml:space="preserve">ROOT_CAUSE §4: misunderstandings are manufactured at</w:t>
      </w:r>
      <w:r>
        <w:t xml:space="preserve"> </w:t>
      </w:r>
      <w:r>
        <w:rPr>
          <w:b/>
          <w:bCs/>
        </w:rPr>
        <w:t xml:space="preserve">composition seams between honest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components</w:t>
      </w:r>
      <w:r>
        <w:t xml:space="preserve">, and all six shapes worsen superlinearly with corpus volume and session turnover.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MU-1</w:t>
      </w:r>
      <w:r>
        <w:t xml:space="preserve"> </w:t>
      </w:r>
      <w:r>
        <w:t xml:space="preserve">— a design doc asserted "22 edit points"; the measured count at execution was</w:t>
      </w:r>
      <w:r>
        <w:t xml:space="preserve"> </w:t>
      </w:r>
      <w:r>
        <w:rPr>
          <w:b/>
          <w:bCs/>
        </w:rPr>
        <w:t xml:space="preserve">45</w:t>
      </w:r>
      <w:r>
        <w:t xml:space="preserve">.</w:t>
      </w:r>
      <w:r>
        <w:t xml:space="preserve"> </w:t>
      </w:r>
      <w:r>
        <w:t xml:space="preserve">A "next free anchor number" was consumed between measurement and use (duplicate-numbering</w:t>
      </w:r>
      <w:r>
        <w:t xml:space="preserve"> </w:t>
      </w:r>
      <w:r>
        <w:t xml:space="preserve">near-miss). A live-state table carried three stale rows. Mechanism:</w:t>
      </w:r>
      <w:r>
        <w:t xml:space="preserve"> </w:t>
      </w:r>
      <w:r>
        <w:rPr>
          <w:i/>
          <w:iCs/>
        </w:rPr>
        <w:t xml:space="preserve">a fact is measured once,</w:t>
      </w:r>
      <w:r>
        <w:rPr>
          <w:i/>
          <w:iCs/>
        </w:rPr>
        <w:t xml:space="preserve"> </w:t>
      </w:r>
      <w:r>
        <w:rPr>
          <w:i/>
          <w:iCs/>
        </w:rPr>
        <w:t xml:space="preserve">becomes text, and text does not expire.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MU-2</w:t>
      </w:r>
      <w:r>
        <w:t xml:space="preserve"> </w:t>
      </w:r>
      <w:r>
        <w:t xml:space="preserve">— a structurally-TRUE impossibility verdict was cited for</w:t>
      </w:r>
      <w:r>
        <w:t xml:space="preserve"> </w:t>
      </w:r>
      <w:r>
        <w:rPr>
          <w:b/>
          <w:bCs/>
        </w:rPr>
        <w:t xml:space="preserve">six weeks</w:t>
      </w:r>
      <w:r>
        <w:t xml:space="preserve"> </w:t>
      </w:r>
      <w:r>
        <w:t xml:space="preserve">against an</w:t>
      </w:r>
      <w:r>
        <w:t xml:space="preserve"> </w:t>
      </w:r>
      <w:r>
        <w:t xml:space="preserve">adjacent, viable goal, while the platform's own docs prescribed a public API for that goal.</w:t>
      </w:r>
      <w:r>
        <w:t xml:space="preserve"> </w:t>
      </w:r>
      <w:r>
        <w:t xml:space="preserve">The rule fired where verdicts are</w:t>
      </w:r>
      <w:r>
        <w:t xml:space="preserve"> </w:t>
      </w:r>
      <w:r>
        <w:rPr>
          <w:i/>
          <w:iCs/>
        </w:rPr>
        <w:t xml:space="preserve">minted</w:t>
      </w:r>
      <w:r>
        <w:t xml:space="preserve">; the failure happened where one was</w:t>
      </w:r>
      <w:r>
        <w:t xml:space="preserve"> </w:t>
      </w:r>
      <w:r>
        <w:rPr>
          <w:i/>
          <w:iCs/>
        </w:rPr>
        <w:t xml:space="preserve">cited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MU-3</w:t>
      </w:r>
      <w:r>
        <w:t xml:space="preserve"> </w:t>
      </w:r>
      <w:r>
        <w:t xml:space="preserve">— work was ordered "run E1–E4, then implement P1" while the gate's own definition</w:t>
      </w:r>
      <w:r>
        <w:t xml:space="preserve"> </w:t>
      </w:r>
      <w:r>
        <w:t xml:space="preserve">required E2 to run</w:t>
      </w:r>
      <w:r>
        <w:t xml:space="preserve"> </w:t>
      </w:r>
      <w:r>
        <w:rPr>
          <w:i/>
          <w:iCs/>
        </w:rPr>
        <w:t xml:space="preserve">on a P1-gated build</w:t>
      </w:r>
      <w:r>
        <w:t xml:space="preserve">: a restatement moved the gate from its declared seam</w:t>
      </w:r>
      <w:r>
        <w:t xml:space="preserve"> </w:t>
      </w:r>
      <w:r>
        <w:t xml:space="preserve">(enabling) to authorship, manufacturing a deadlock that read as "blocked".</w:t>
      </w:r>
    </w:p>
    <w:bookmarkEnd w:id="10"/>
    <w:bookmarkStart w:id="14" w:name="X4b2ff88e30b0c0528ccd172a0a84fbbafaffe01"/>
    <w:p>
      <w:pPr>
        <w:pStyle w:val="Heading2"/>
      </w:pPr>
      <w:r>
        <w:t xml:space="preserve">2. The mechanism — three refusing checks</w:t>
      </w:r>
    </w:p>
    <w:p>
      <w:pPr>
        <w:pStyle w:val="FirstParagraph"/>
      </w:pPr>
      <w:r>
        <w:drawing>
          <wp:inline>
            <wp:extent cx="5334000" cy="14696779"/>
            <wp:effectExtent b="0" l="0" r="0" t="0"/>
            <wp:docPr descr="Mermaid diagram 1" title="" id="12" name="Picture"/>
            <a:graphic>
              <a:graphicData uri="http://schemas.openxmlformats.org/drawingml/2006/picture">
                <pic:pic>
                  <pic:nvPicPr>
                    <pic:cNvPr descr=".mermaid_assets/SOL-10_mu_layer.mmd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96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stateblock</w:t>
      </w:r>
      <w:r>
        <w:rPr>
          <w:b/>
          <w:bCs/>
        </w:rPr>
        <w:t xml:space="preserve"> </w:t>
      </w:r>
      <w:r>
        <w:rPr>
          <w:b/>
          <w:bCs/>
        </w:rPr>
        <w:t xml:space="preserve">(MU-1):</w:t>
      </w:r>
      <w:r>
        <w:t xml:space="preserve"> </w:t>
      </w:r>
      <w:r>
        <w:t xml:space="preserve">any measured fact carried in a document lives inside a</w:t>
      </w:r>
      <w:r>
        <w:t xml:space="preserve"> </w:t>
      </w:r>
      <w:r>
        <w:t xml:space="preserve">machine-derived block declaring its generator command; verification re-runs the generator</w:t>
      </w:r>
      <w:r>
        <w:t xml:space="preserve"> </w:t>
      </w:r>
      <w:r>
        <w:t xml:space="preserve">and byte-compares (§11.4.205(4)) — the 22-vs-45 case is a refused commit, not a discovered</w:t>
      </w:r>
      <w:r>
        <w:t xml:space="preserve"> </w:t>
      </w:r>
      <w:r>
        <w:t xml:space="preserve">surprise. Blocks whose generator reads the document itself are refused (</w:t>
      </w:r>
      <w:r>
        <w:rPr>
          <w:rStyle w:val="VerbatimChar"/>
        </w:rPr>
        <w:t xml:space="preserve">SELF-REF</w:t>
      </w:r>
      <w:r>
        <w:t xml:space="preserve">) — the</w:t>
      </w:r>
      <w:r>
        <w:t xml:space="preserve"> </w:t>
      </w:r>
      <w:r>
        <w:t xml:space="preserve">real §11.4.205(5) fixpoint bug where a self-fingerprint makes verify a permanent false-FAIL.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fence</w:t>
      </w:r>
      <w:r>
        <w:rPr>
          <w:b/>
          <w:bCs/>
        </w:rPr>
        <w:t xml:space="preserve"> </w:t>
      </w:r>
      <w:r>
        <w:rPr>
          <w:b/>
          <w:bCs/>
        </w:rPr>
        <w:t xml:space="preserve">(MU-2):</w:t>
      </w:r>
      <w:r>
        <w:t xml:space="preserve"> </w:t>
      </w:r>
      <w:r>
        <w:t xml:space="preserve">a verdict's registry row enumerates the files that may cite it; a</w:t>
      </w:r>
      <w:r>
        <w:t xml:space="preserve"> </w:t>
      </w:r>
      <w:r>
        <w:t xml:space="preserve">citation anywhere else is a violation naming the citing file. The six-week leak becomes a</w:t>
      </w:r>
      <w:r>
        <w:t xml:space="preserve"> </w:t>
      </w:r>
      <w:r>
        <w:t xml:space="preserve">same-day build failure at the first out-of-fence citation.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seam</w:t>
      </w:r>
      <w:r>
        <w:rPr>
          <w:b/>
          <w:bCs/>
        </w:rPr>
        <w:t xml:space="preserve"> </w:t>
      </w:r>
      <w:r>
        <w:rPr>
          <w:b/>
          <w:bCs/>
        </w:rPr>
        <w:t xml:space="preserve">(MU-3):</w:t>
      </w:r>
      <w:r>
        <w:t xml:space="preserve"> </w:t>
      </w:r>
      <w:r>
        <w:t xml:space="preserve">every gate's registry row declares its seam; a plan/dispatch line</w:t>
      </w:r>
      <w:r>
        <w:t xml:space="preserve"> </w:t>
      </w:r>
      <w:r>
        <w:t xml:space="preserve">requiring the gate at any other seam (or requiring an unregistered gate) fails. Restatement</w:t>
      </w:r>
      <w:r>
        <w:t xml:space="preserve"> </w:t>
      </w:r>
      <w:r>
        <w:t xml:space="preserve">drift of the load-bearing qualifier is caught where it happens — in the restating document.</w:t>
      </w:r>
    </w:p>
    <w:bookmarkEnd w:id="14"/>
    <w:bookmarkStart w:id="15" w:name="Xd4550ab182c445dcfc19ae888adb2177c894125"/>
    <w:p>
      <w:pPr>
        <w:pStyle w:val="Heading2"/>
      </w:pPr>
      <w:r>
        <w:t xml:space="preserve">3. POC results</w:t>
      </w:r>
    </w:p>
    <w:p>
      <w:pPr>
        <w:pStyle w:val="FirstParagraph"/>
      </w:pPr>
      <w:r>
        <w:t xml:space="preserve">RED → GREEN</w:t>
      </w:r>
      <w:r>
        <w:t xml:space="preserve"> </w:t>
      </w:r>
      <w:r>
        <w:rPr>
          <w:b/>
          <w:bCs/>
        </w:rPr>
        <w:t xml:space="preserve">7/7</w:t>
      </w:r>
      <w:r>
        <w:t xml:space="preserve">: fresh block verifies; the MU-1 22-vs-45 case reproduced as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;</w:t>
      </w:r>
      <w:r>
        <w:t xml:space="preserve"> </w:t>
      </w:r>
      <w:r>
        <w:t xml:space="preserve">self-referencing block refused; in-fence citation clean; out-of-fence citation named; declared-</w:t>
      </w:r>
      <w:r>
        <w:t xml:space="preserve"> </w:t>
      </w:r>
      <w:r>
        <w:t xml:space="preserve">seam plan clean; moved-seam plan</w:t>
      </w:r>
      <w:r>
        <w:t xml:space="preserve"> </w:t>
      </w:r>
      <w:r>
        <w:rPr>
          <w:rStyle w:val="VerbatimChar"/>
        </w:rPr>
        <w:t xml:space="preserve">SEAM-MISMATCH</w:t>
      </w:r>
      <w:r>
        <w:t xml:space="preserve">.</w:t>
      </w:r>
    </w:p>
    <w:bookmarkEnd w:id="15"/>
    <w:bookmarkStart w:id="16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A machine-measurable fact carried as prose can no longer silently expire (its block either</w:t>
      </w:r>
      <w:r>
        <w:t xml:space="preserve"> </w:t>
      </w:r>
      <w:r>
        <w:t xml:space="preserve">re-verifies or fails the commit); a fenced verdict cannot be cited beyond its scope without a</w:t>
      </w:r>
      <w:r>
        <w:t xml:space="preserve"> </w:t>
      </w:r>
      <w:r>
        <w:t xml:space="preserve">named violation; a plan cannot require a gate at a seam its declaration does not seat it at.</w:t>
      </w:r>
    </w:p>
    <w:bookmarkEnd w:id="16"/>
    <w:bookmarkStart w:id="17" w:name="X161970d4dde85b124e3bdc4ba78a7eb57ae55c1"/>
    <w:p>
      <w:pPr>
        <w:pStyle w:val="Heading2"/>
      </w:pPr>
      <w:r>
        <w:t xml:space="preserve">5. What it still does NOT catch (honest boundary — the largest of any solution here)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MU-4 semantic contradiction</w:t>
      </w:r>
      <w:r>
        <w:t xml:space="preserve"> </w:t>
      </w:r>
      <w:r>
        <w:t xml:space="preserve">between anchors remains undecidable in general; only its</w:t>
      </w:r>
      <w:r>
        <w:t xml:space="preserve"> </w:t>
      </w:r>
      <w:r>
        <w:t xml:space="preserve">duplication/divergence projection (SOL-06) and these fence/seam projections are mechanized.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MU-5 (wrong mechanism → wrong remedy)</w:t>
      </w:r>
      <w:r>
        <w:t xml:space="preserve"> </w:t>
      </w:r>
      <w:r>
        <w:t xml:space="preserve">is a reasoning failure; SOL-03's</w:t>
      </w:r>
      <w:r>
        <w:t xml:space="preserve"> </w:t>
      </w:r>
      <w:r>
        <w:rPr>
          <w:rStyle w:val="VerbatimChar"/>
        </w:rPr>
        <w:t xml:space="preserve">INSTRUMENT-BLIND</w:t>
      </w:r>
      <w:r>
        <w:t xml:space="preserve">-before-remedy discipline narrows it, nothing closes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Adoption cost is real:</w:t>
      </w:r>
      <w:r>
        <w:t xml:space="preserve"> </w:t>
      </w:r>
      <w:r>
        <w:t xml:space="preserve">facts must be</w:t>
      </w:r>
      <w:r>
        <w:t xml:space="preserve"> </w:t>
      </w:r>
      <w:r>
        <w:rPr>
          <w:i/>
          <w:iCs/>
        </w:rPr>
        <w:t xml:space="preserve">authored into</w:t>
      </w:r>
      <w:r>
        <w:t xml:space="preserve"> </w:t>
      </w:r>
      <w:r>
        <w:t xml:space="preserve">machine blocks, verdicts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the registry, gates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seam declarations — un-registered instances are invisible to all</w:t>
      </w:r>
      <w:r>
        <w:t xml:space="preserve"> </w:t>
      </w:r>
      <w:r>
        <w:t xml:space="preserve">three checks. This is the same declared-set trade every solution here makes; the honest</w:t>
      </w:r>
      <w:r>
        <w:t xml:space="preserve"> </w:t>
      </w:r>
      <w:r>
        <w:t xml:space="preserve">statement is that SOL-10 converts unbounded misunderstanding surface into a bounded</w:t>
      </w:r>
      <w:r>
        <w:t xml:space="preserve"> </w:t>
      </w:r>
      <w:r>
        <w:t xml:space="preserve">registration discipline, not into zero.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stateblock</w:t>
      </w:r>
      <w:r>
        <w:rPr>
          <w:b/>
          <w:bCs/>
        </w:rPr>
        <w:t xml:space="preserve"> </w:t>
      </w:r>
      <w:r>
        <w:rPr>
          <w:b/>
          <w:bCs/>
        </w:rPr>
        <w:t xml:space="preserve">executes embedded generator commands</w:t>
      </w:r>
      <w:r>
        <w:t xml:space="preserve"> </w:t>
      </w:r>
      <w:r>
        <w:t xml:space="preserve">— integration MUST allowlist the</w:t>
      </w:r>
      <w:r>
        <w:t xml:space="preserve"> </w:t>
      </w:r>
      <w:r>
        <w:t xml:space="preserve">command vocabulary before wiring at any seam (an unconstrained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field is an injection</w:t>
      </w:r>
      <w:r>
        <w:t xml:space="preserve"> </w:t>
      </w:r>
      <w:r>
        <w:t xml:space="preserve">surface). Stated in the tool header; not solved in a POC.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UNPROVEN:</w:t>
      </w:r>
      <w:r>
        <w:t xml:space="preserve"> </w:t>
      </w:r>
      <w:r>
        <w:t xml:space="preserve">none of the three checks has run against the real corpus's docs (the real</w:t>
      </w:r>
      <w:r>
        <w:t xml:space="preserve"> </w:t>
      </w:r>
      <w:r>
        <w:t xml:space="preserve">corpus has no machine blocks / fences / seam declarations yet to check — adoption precedes</w:t>
      </w:r>
      <w:r>
        <w:t xml:space="preserve"> </w:t>
      </w:r>
      <w:r>
        <w:t xml:space="preserve">measurement, by construction).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poc/sol10_mu_lay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10_mu_lay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SOL-10_mu_layer</dc:title>
  <dc:creator/>
  <dc:language>en</dc:language>
  <cp:keywords/>
  <dcterms:created xsi:type="dcterms:W3CDTF">2026-07-24T00:59:48Z</dcterms:created>
  <dcterms:modified xsi:type="dcterms:W3CDTF">2026-07-24T00:59:48Z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