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18"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57</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2026-07-22T08:52:07Z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Round of 2026-07-22 — the DESIGN-METHODOLOGY codification (User mandate, 2026-07-22; proving project: the Helix Thready MVP design package,</w:t>
            </w:r>
            <w:r>
              <w:t xml:space="preserve"> </w:t>
            </w:r>
            <w:r>
              <w:rPr>
                <w:rStyle w:val="VerbatimChar"/>
              </w:rPr>
              <w:t xml:space="preserve">docs/public/research/mvp/design/</w:t>
            </w:r>
            <w:r>
              <w:t xml:space="preserve"> </w:t>
            </w:r>
            <w:r>
              <w:t xml:space="preserve">— the complete design approach built and verified there is promoted into 8 NEW universal anchors §11.4.216–§11.4.223 so every future project inherits it out of the box). §11.4.216 — canonical machine-readable design-token source: ONE CSS custom-property file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override), every platform consumes GENERATED bindings never hand-copies, no invented values (§11.4.6 applied to design — every color traceable to eyedrop/measured-contrast evidence). §11.4.217 — OpenDesign brand contract: every UI-shipping product carries a 9-section DESIGN.md (category blockquote, font-labels block,</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targeted reduced-motion,</w:t>
            </w:r>
            <w:r>
              <w:t xml:space="preserve"> </w:t>
            </w:r>
            <w:r>
              <w:rPr>
                <w:rStyle w:val="VerbatimChar"/>
              </w:rPr>
              <w:t xml:space="preserve">:focus-visible</w:t>
            </w:r>
            <w:r>
              <w:t xml:space="preserve">) + a machine-readable tokens.css twin under</w:t>
            </w:r>
            <w:r>
              <w:t xml:space="preserve"> </w:t>
            </w:r>
            <w:r>
              <w:rPr>
                <w:rStyle w:val="VerbatimChar"/>
              </w:rPr>
              <w:t xml:space="preserve">design/opendesign/</w:t>
            </w:r>
            <w:r>
              <w:t xml:space="preserve">; brand/accent/semantic are DISJOINT color roles; white-label is a closed override set with SERVER-VALIDATED WCAG AA ≥4.5:1 accents; the attribution footer is locked, never removed even white-labeled. §11.4.218 — living design-library catalogue: every component × state × theme rendered in self-contained artifacts (zero CDNs, real behaviors), plus a cross-platform reusability matrix with per-cell VERIFIED/PROPOSED/ASSUMED provenance. §11.4.219 — per-app screen catalogues: full-IA coverage per surface, per-platform chrome variants, honesty markers ([GAP]/[OPEN]) for unbuilt behavior — never a fake flow. §11.4.220 — open-first design tooling: self-hosted PenPot is the primary design platform, consumed ONLY via the dedicated PenPot submodule (working name vasic-digital/PenPot, final name pending — generic referent normative meanwhile; mechanisms/utils only: deployment recipe, RPC client, access-token minting, import tooling, browser-hydration automation, MCP wiring; itself consuming the Containers submodule §11.4.76/§11.4.161 with a §11.4.31 helix-deps.yaml declaration; NO hand-rolled PenPot deployment/client code in projects §11.4.28/§11.4.74); proprietary tools (Figma) are import/export bridges only, never the source of truth; design sources live in-repo in open formats (SVG/CSS/JSON/Lottie/self-contained HTML); tooling claims runtime-probed (§11.4.201/§11.4.99); automation auth = token-authenticated RPC access tokens (enable-access-tokens), never interactive OAuth relays; API-created files require a browser hydration pass before handoff (thumbnails/text layout). §11.4.221 — motion discipline: token-bound durations/easings only; every playable animation ships a keyframe-derived reduced-motion static fallback named in a machine-readable motion manifest (deliberate instant-cut = explicit null-with-reason); prefers-reduced-motion honored via targeted gates never a global *; every animation render-validated before claimed working, unverified runtimes [OPEN]-tracked. §11.4.222 — design-completion export wave: a design is not done until per-platform token codegen, the FULL icon/asset raster matrix via the honest-output raster pipeline (probe-tested renderers §11.4.201, honest SKIP-with-note §11.4.3/§11.4.69, NEVER faked/blank outputs, every raster verified non-degenerate §11.4.38), both-theme screen renders + the bound design book, honest-status hand-off bundles, and the §11.4.65/§11.4.73 doc twins land. §11.4.223 — provenance-marker discipline for design docs: [VERIFIED]/[OPERATOR]/[DEFAULT — adjustable]/[OPEN: id] markers mandatory, every open item centrally registered in the area index (tree-verified both directions §11.4.186) and mapped to tracked workable items (§11.4.93/§11.4.197). All Classification: universal (§11.4.17) — consumers supply brand values, platform lists, paths, and submodule pointers as DATA per §11.4.35. Propagation gates CM-COVENANT-114-216…223-PROPAGATION + recommended mechanism gates + paired §1.1 mutations (gate-code = separate work item). CLAUDE.md + AGENTS.md + QWEN.md + GEMINI.md mirrors updated in lockstep (§11.4.157). Generated .html/.pdf/.docx twins NOT regenerated this round — no in-repo §11.4.65 export-pipeline invocation is available in this checkout; twins are honestly STALE pending the exporter run (§11.4.6, no silent divergence claimed otherwise). Prior round: Round 2 of 2026-07-17 — the CARRIER / MEASUREMENT-INTEGRITY harvest (research-derived from one cycle's forensics in a consuming project). 4 EXTENSIONS + 2 NEW anchors + 1 candidate REJECTED-as-already-covered. The unifying FACT: every false finding that cycle had ONE shape — a token that MENTIONS X matched as X, or an instrument's silence read as data (a removal's ref-count matched the audit-trail comments DOCUMENTING the removal; escapes eaten by a wrapper shell so the far side searched a literal;</w:t>
            </w:r>
            <w:r>
              <w:t xml:space="preserve"> </w:t>
            </w:r>
            <w:r>
              <w:rPr>
                <w:rStyle w:val="VerbatimChar"/>
              </w:rPr>
              <w:t xml:space="preserve">|</w:t>
            </w:r>
            <w:r>
              <w:t xml:space="preserve"> </w:t>
            </w:r>
            <w:r>
              <w:t xml:space="preserve">a literal pipe under ERE; `check</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7"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rPr>
          <w:b/>
          <w:bCs/>
        </w:rPr>
        <w:t xml:space="preserve">(D) AUTOMATIC activation — no operator prompt required (User mandate, 2026-07-13, verbatim "Make sure we automatically turn on the systematic-debugging plugin and skills every time we work on any issue! Add this as MANDATORY RULE to our root constitution Submodule and all of its relevant files!").</w:t>
      </w:r>
      <w:r>
        <w:t xml:space="preserve"> </w:t>
      </w:r>
      <w:r>
        <w:t xml:space="preserve">Clause-(A) activation is AUTOMATIC + STANDING DEFAULT — auto-activate</w:t>
      </w:r>
      <w:r>
        <w:t xml:space="preserve"> </w:t>
      </w:r>
      <w:r>
        <w:rPr>
          <w:rStyle w:val="VerbatimChar"/>
        </w:rPr>
        <w:t xml:space="preserve">superpowers:systematic-debugging</w:t>
      </w:r>
      <w:r>
        <w:t xml:space="preserve"> </w:t>
      </w:r>
      <w:r>
        <w:t xml:space="preserve">(or platform-equivalent) on ANY spotted issue/bug/test-failure/gate-failure/regression/misalignment/inconsistency/unexpected-behaviour WITHOUT an operator prompt/request/per-issue confirmation, the MOMENT an issue is detected (composes §11.4.126 from-first-prompt default); the</w:t>
      </w:r>
      <w:r>
        <w:t xml:space="preserve"> </w:t>
      </w:r>
      <w:r>
        <w:rPr>
          <w:rStyle w:val="VerbatimChar"/>
        </w:rPr>
        <w:t xml:space="preserve">superpowers</w:t>
      </w:r>
      <w:r>
        <w:t xml:space="preserve"> </w:t>
      </w:r>
      <w:r>
        <w:t xml:space="preserve">plugin +</w:t>
      </w:r>
      <w:r>
        <w:t xml:space="preserve"> </w:t>
      </w:r>
      <w:r>
        <w:rPr>
          <w:rStyle w:val="VerbatimChar"/>
        </w:rPr>
        <w:t xml:space="preserve">systematic-debugging</w:t>
      </w:r>
      <w:r>
        <w:t xml:space="preserve"> </w:t>
      </w:r>
      <w:r>
        <w:t xml:space="preserve">+</w:t>
      </w:r>
      <w:r>
        <w:t xml:space="preserve"> </w:t>
      </w:r>
      <w:r>
        <w:rPr>
          <w:rStyle w:val="VerbatimChar"/>
        </w:rPr>
        <w:t xml:space="preserve">using-superpowers</w:t>
      </w:r>
      <w:r>
        <w:t xml:space="preserve"> </w:t>
      </w:r>
      <w:r>
        <w:t xml:space="preserve">skills confirmed installed+loadable per (C) before dependent work (live-capability-list, never assumed §11.4.6); "did not activate because the operator did not ask" = §11.4.102(D) violation. STRENGTHENS (A) — prompt-independent + standing-default — never weakens it: (A)/(B)/(C) + four-phase-arc + Iron-Law ("NO FIXES WITHOUT ROOT CAUSE INVESTIGATION FIRST") intact.</w:t>
      </w:r>
    </w:p>
    <w:p>
      <w:pPr>
        <w:pStyle w:val="BodyText"/>
      </w:pPr>
      <w:r>
        <w:t xml:space="preserve">Composes with §11.4.4 / §11.4.6 / §11.4.7 / §11.4.8 / §11.4.43 / §11.4.70 / §11.4.82(A) / §11.4.92 / §11.4.126.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15">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is STRICTLY FORBIDDEN everywhere — every agent, every tool, every automation. See-before-you-type, verify-after-you-type, OCR/vision oracle mandatory, WebView fallback required, credential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r>
        <w:t xml:space="preserve"> </w:t>
      </w:r>
      <w:r>
        <w:rPr>
          <w:b/>
          <w:bCs/>
        </w:rPr>
        <w:t xml:space="preserve">§11.4.208 — Operator-request-history document: every project maintains a project-local, always-in-sync ledger of every operator request/prompt (User mandate, 2026-07-15).</w:t>
      </w:r>
      <w:r>
        <w:t xml:space="preserve"> </w:t>
      </w:r>
      <w:r>
        <w:t xml:space="preserve">Compact summary: every governed project MUST maintain a single PROJECT-LOCAL, append-only, newest-first request-history document (e.g.</w:t>
      </w:r>
      <w:r>
        <w:t xml:space="preserve"> </w:t>
      </w:r>
      <w:r>
        <w:rPr>
          <w:rStyle w:val="VerbatimChar"/>
        </w:rPr>
        <w:t xml:space="preserve">docs/requests/history.md</w:t>
      </w:r>
      <w:r>
        <w:t xml:space="preserve">, path declared once per §11.4.35) recording EVERY operator request/prompt with EXACTLY these operator-mandated fields — (1) full request content (verbatim where archived, else a faithful complete summary, marked which); (2) accepted timestamp with an EXPLICIT timezone stamp on every entry (project-declared default zone,</w:t>
      </w:r>
      <w:r>
        <w:t xml:space="preserve"> </w:t>
      </w:r>
      <w:r>
        <w:rPr>
          <w:rStyle w:val="VerbatimChar"/>
        </w:rPr>
        <w:t xml:space="preserve">time UNKNOWN</w:t>
      </w:r>
      <w:r>
        <w:t xml:space="preserve"> </w:t>
      </w:r>
      <w:r>
        <w:t xml:space="preserve">where only a date is recoverable, never fabricated); (3) the Track that processed it (§11.4.176/.178/.182); (4) the live alias that took the item (§11.4.182/.196); (5) the model + effort used. (A) NO INVENTION (§11.4.6) — an unrecoverable field is recorded literally</w:t>
      </w:r>
      <w:r>
        <w:t xml:space="preserve"> </w:t>
      </w:r>
      <w:r>
        <w:rPr>
          <w:rStyle w:val="VerbatimChar"/>
        </w:rPr>
        <w:t xml:space="preserve">UNKNOWN</w:t>
      </w:r>
      <w:r>
        <w:t xml:space="preserve">, never guessed (a fabricated timestamp/alias/model is a §11.4/§11.4.1 requirements-record bluff); (B) honest reconstruction boundary for pre-mandate sessions (best-effort from durable dated records, unrecoverable fields</w:t>
      </w:r>
      <w:r>
        <w:t xml:space="preserve"> </w:t>
      </w:r>
      <w:r>
        <w:rPr>
          <w:rStyle w:val="VerbatimChar"/>
        </w:rPr>
        <w:t xml:space="preserve">UNKNOWN</w:t>
      </w:r>
      <w:r>
        <w:t xml:space="preserve">, boundary stated explicitly); (C) always in sync (§12.10) + §11.4.44 revision header + four-format export §11.4.65/§11.4.73; (D) keep-applying mechanism (a helper script and/or a</w:t>
      </w:r>
      <w:r>
        <w:t xml:space="preserve"> </w:t>
      </w:r>
      <w:r>
        <w:rPr>
          <w:rStyle w:val="VerbatimChar"/>
        </w:rPr>
        <w:t xml:space="preserve">UserPromptSubmit</w:t>
      </w:r>
      <w:r>
        <w:t xml:space="preserve">-class hook appends a newest-first row per new prompt with deterministic track/alias derivation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 helper-without-hook is honestly partial, hook-wiring a tracked §11.4.197/§12.10 follow-up, never claimed as automatic capture it does not perform); (E) complements NEVER replaces the per-session no-loss ledger (§11.4.197/.202), the workable-items DB SSoT (§11.4.93/.95), and the §12.10/§11.4.131 session-resumption artefacts (loss of a requirement at intake FORBIDDEN §11.4.197); (F) RULE-UNIVERSAL / DOCUMENT-PROJECT-LOCAL (§11.4.35) — this universal RULE lives in the constitution submodule, the DOCUMENT + its path + the default timezone are consumer-owned DATA and are NEVER placed into the constitution (§11.4.28). Classification: universal (§11.4.17). Composes §11.4.6/.35/.44/.65/.73/.118/.131/§12.10/.176/.178/.182/.196/.197/.202/.93/.95.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Compact summary: every mandatory independent code-review the constitution requires — the §11.4.125 code-review-agent gate before pre-build + main build, the §11.4.142 universal every-change-review, and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 fallback (closed, ordered) — ONLY when Fable is genuinely unavailable (FACT per §11.4.6, never guessed) use</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REQUIRED in both cases; (B) independence preserved (§11.4.70/.20) — §11.4.209 sets the MODEL+EFFORT, not the independence / iterate-until-GO §11.4.134 / captured-evidence §11.4.5/.69/.107; (C) honest boundary §11.4.6 — a review claimed done that ran on a weaker model/lower effort than Fable-xhigh (or Opus-xhigh on genuine Fable-unavailability) is a §11.4 review-substrate bluff; the review's captured evidence records which model+effort actually performed it (and, on fallback, the Fable-unavailability fact). STRENGTHENS §11.4.125/.142/.194/.134, does not replace them.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2026-07-22T11:29:09Z</dcterms:created>
  <dcterms:modified xsi:type="dcterms:W3CDTF">2026-07-22T11:29:09Z</dcterms:modified>
</cp:coreProperties>
</file>

<file path=docProps/custom.xml><?xml version="1.0" encoding="utf-8"?>
<Properties xmlns="http://schemas.openxmlformats.org/officeDocument/2006/custom-properties" xmlns:vt="http://schemas.openxmlformats.org/officeDocument/2006/docPropsVTypes"/>
</file>