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2026-07-22T08:52:07Z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of 2026-07-22 — the DESIGN-METHODOLOGY codification (User mandate, 2026-07-22; proving project: the Helix Thready MVP design package,</w:t>
            </w:r>
            <w:r>
              <w:t xml:space="preserve"> </w:t>
            </w:r>
            <w:r>
              <w:rPr>
                <w:rStyle w:val="VerbatimChar"/>
              </w:rPr>
              <w:t xml:space="preserve">docs/public/research/mvp/design/</w:t>
            </w:r>
            <w:r>
              <w:t xml:space="preserve"> </w:t>
            </w:r>
            <w:r>
              <w:t xml:space="preserve">— the complete design approach built and verified there is promoted into 8 NEW universal anchors §11.4.216–§11.4.223 so every future project inherits it out of the box). §11.4.216 — canonical machine-readable design-token source: ONE CSS custom-property file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override), every platform consumes GENERATED bindings never hand-copies, no invented values (§11.4.6 applied to design — every color traceable to eyedrop/measured-contrast evidence). §11.4.217 — OpenDesign brand contract: every UI-shipping product carries a 9-section DESIGN.md (category blockquote, font-labels block,</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targeted reduced-motion,</w:t>
            </w:r>
            <w:r>
              <w:t xml:space="preserve"> </w:t>
            </w:r>
            <w:r>
              <w:rPr>
                <w:rStyle w:val="VerbatimChar"/>
              </w:rPr>
              <w:t xml:space="preserve">:focus-visible</w:t>
            </w:r>
            <w:r>
              <w:t xml:space="preserve">) + a machine-readable tokens.css twin under</w:t>
            </w:r>
            <w:r>
              <w:t xml:space="preserve"> </w:t>
            </w:r>
            <w:r>
              <w:rPr>
                <w:rStyle w:val="VerbatimChar"/>
              </w:rPr>
              <w:t xml:space="preserve">design/opendesign/</w:t>
            </w:r>
            <w:r>
              <w:t xml:space="preserve">; brand/accent/semantic are DISJOINT color roles; white-label is a closed override set with SERVER-VALIDATED WCAG AA ≥4.5:1 accents; the attribution footer is locked, never removed even white-labeled. §11.4.218 — living design-library catalogue: every component × state × theme rendered in self-contained artifacts (zero CDNs, real behaviors), plus a cross-platform reusability matrix with per-cell VERIFIED/PROPOSED/ASSUMED provenance. §11.4.219 — per-app screen catalogues: full-IA coverage per surface, per-platform chrome variants, honesty markers ([GAP]/[OPEN]) for unbuilt behavior — never a fake flow. §11.4.220 — open-first design tooling: self-hosted PenPot is the primary design platform, consumed ONLY via the dedicated PenPot submodule (working name vasic-digital/PenPot, final name pending — generic referent normative meanwhile; mechanisms/utils only: deployment recipe, RPC client, access-token minting, import tooling, browser-hydration automation, MCP wiring; itself consuming the Containers submodule §11.4.76/§11.4.161 with a §11.4.31 helix-deps.yaml declaration; NO hand-rolled PenPot deployment/client code in projects §11.4.28/§11.4.74); proprietary tools (Figma) are import/export bridges only, never the source of truth; design sources live in-repo in open formats (SVG/CSS/JSON/Lottie/self-contained HTML); tooling claims runtime-probed (§11.4.201/§11.4.99); automation auth = token-authenticated RPC access tokens (enable-access-tokens), never interactive OAuth relays; API-created files require a browser hydration pass before handoff (thumbnails/text layout). §11.4.221 — motion discipline: token-bound durations/easings only; every playable animation ships a keyframe-derived reduced-motion static fallback named in a machine-readable motion manifest (deliberate instant-cut = explicit null-with-reason); prefers-reduced-motion honored via targeted gates never a global *; every animation render-validated before claimed working, unverified runtimes [OPEN]-tracked. §11.4.222 — design-completion export wave: a design is not done until per-platform token codegen, the FULL icon/asset raster matrix via the honest-output raster pipeline (probe-tested renderers §11.4.201, honest SKIP-with-note §11.4.3/§11.4.69, NEVER faked/blank outputs, every raster verified non-degenerate §11.4.38), both-theme screen renders + the bound design book, honest-status hand-off bundles, and the §11.4.65/§11.4.73 doc twins land. §11.4.223 — provenance-marker discipline for design docs: [VERIFIED]/[OPERATOR]/[DEFAULT — adjustable]/[OPEN: id] markers mandatory, every open item centrally registered in the area index (tree-verified both directions §11.4.186) and mapped to tracked workable items (§11.4.93/§11.4.197). All Classification: universal (§11.4.17) — consumers supply brand values, platform lists, paths, and submodule pointers as DATA per §11.4.35. Propagation gates CM-COVENANT-114-216…223-PROPAGATION + recommended mechanism gates + paired §1.1 mutations (gate-code = separate work item). CLAUDE.md + AGENTS.md + QWEN.md + GEMINI.md mirrors updated in lockstep (§11.4.157). Generated .html/.pdf/.docx twins NOT regenerated this round — no in-repo §11.4.65 export-pipeline invocation is available in this checkout; twins are honestly STALE pending the exporter run (§11.4.6, no silent divergence claimed otherwise). Prior round: 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2026-07-22T11:28:58Z</dcterms:created>
  <dcterms:modified xsi:type="dcterms:W3CDTF">2026-07-22T11:28:58Z</dcterms:modified>
</cp:coreProperties>
</file>

<file path=docProps/custom.xml><?xml version="1.0" encoding="utf-8"?>
<Properties xmlns="http://schemas.openxmlformats.org/officeDocument/2006/custom-properties" xmlns:vt="http://schemas.openxmlformats.org/officeDocument/2006/docPropsVTypes"/>
</file>