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79"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63</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5"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8"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16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97">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8"/>
    <w:bookmarkStart w:id="99"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9"/>
    <w:bookmarkStart w:id="100"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100"/>
    <w:bookmarkStart w:id="101"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1"/>
    <w:bookmarkStart w:id="102"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2"/>
    <w:bookmarkStart w:id="103"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3"/>
    <w:bookmarkStart w:id="104"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4"/>
    <w:bookmarkStart w:id="106"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5">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6"/>
    <w:bookmarkStart w:id="107"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7"/>
    <w:bookmarkStart w:id="110"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8">
        <w:r>
          <w:rPr>
            <w:rStyle w:val="Hyperlink"/>
          </w:rPr>
          <w:t xml:space="preserve">https://github.com/vasic-digital/containers</w:t>
        </w:r>
      </w:hyperlink>
      <w:r>
        <w:t xml:space="preserve"> </w:t>
      </w:r>
      <w:r>
        <w:t xml:space="preserve">(</w:t>
      </w:r>
      <w:hyperlink r:id="rId109">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10"/>
    <w:bookmarkStart w:id="111"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1"/>
    <w:bookmarkStart w:id="112"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2"/>
    <w:bookmarkStart w:id="113"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3"/>
    <w:bookmarkStart w:id="114"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4"/>
    <w:bookmarkStart w:id="115"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5"/>
    <w:bookmarkStart w:id="125"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6"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6"/>
    <w:bookmarkStart w:id="117"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7"/>
    <w:bookmarkStart w:id="118"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8"/>
    <w:bookmarkStart w:id="119"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9"/>
    <w:bookmarkStart w:id="120"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20"/>
    <w:bookmarkStart w:id="121"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1"/>
    <w:bookmarkStart w:id="122"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2"/>
    <w:bookmarkStart w:id="123"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3"/>
    <w:bookmarkStart w:id="124"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4"/>
    <w:bookmarkEnd w:id="125"/>
    <w:bookmarkStart w:id="126"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6"/>
    <w:bookmarkStart w:id="127"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7"/>
    <w:bookmarkStart w:id="128"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8"/>
    <w:bookmarkStart w:id="129"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9"/>
    <w:bookmarkStart w:id="130"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30"/>
    <w:bookmarkStart w:id="131"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1"/>
    <w:bookmarkStart w:id="1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2"/>
    <w:bookmarkStart w:id="133"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3"/>
    <w:bookmarkStart w:id="134"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4"/>
    <w:bookmarkStart w:id="135"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5"/>
    <w:bookmarkStart w:id="136"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6"/>
    <w:bookmarkStart w:id="137"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7"/>
    <w:bookmarkStart w:id="138"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8"/>
    <w:bookmarkStart w:id="139"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9"/>
    <w:bookmarkStart w:id="140"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40"/>
    <w:bookmarkStart w:id="141"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1"/>
    <w:bookmarkStart w:id="143"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2">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3"/>
    <w:bookmarkStart w:id="144"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4"/>
    <w:bookmarkStart w:id="145"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5"/>
    <w:bookmarkStart w:id="146"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6"/>
    <w:bookmarkStart w:id="147"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7"/>
    <w:bookmarkStart w:id="148"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8"/>
    <w:bookmarkStart w:id="14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9"/>
    <w:bookmarkStart w:id="150"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50"/>
    <w:bookmarkStart w:id="151"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1"/>
    <w:bookmarkStart w:id="152"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2"/>
    <w:bookmarkStart w:id="153"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3"/>
    <w:bookmarkStart w:id="154"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4"/>
    <w:bookmarkStart w:id="155"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55"/>
    <w:bookmarkStart w:id="156"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6"/>
    <w:bookmarkStart w:id="157"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7"/>
    <w:bookmarkStart w:id="158"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8"/>
    <w:bookmarkStart w:id="159"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9"/>
    <w:bookmarkStart w:id="160"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60"/>
    <w:bookmarkStart w:id="161"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1"/>
    <w:bookmarkStart w:id="162"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2"/>
    <w:bookmarkStart w:id="163"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63"/>
    <w:bookmarkStart w:id="164"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4"/>
    <w:bookmarkStart w:id="165"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5"/>
    <w:bookmarkStart w:id="166"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6"/>
    <w:bookmarkStart w:id="167"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7"/>
    <w:bookmarkStart w:id="168"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8"/>
    <w:bookmarkStart w:id="169"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9"/>
    <w:bookmarkStart w:id="170"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70"/>
    <w:bookmarkStart w:id="171"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1"/>
    <w:bookmarkStart w:id="172"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2"/>
    <w:bookmarkStart w:id="173"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3"/>
    <w:bookmarkStart w:id="174"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4"/>
    <w:bookmarkStart w:id="175"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5"/>
    <w:bookmarkStart w:id="176"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6"/>
    <w:bookmarkStart w:id="17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7"/>
    <w:bookmarkStart w:id="180"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8">
        <w:r>
          <w:rPr>
            <w:rStyle w:val="Hyperlink"/>
          </w:rPr>
          <w:t xml:space="preserve">https://developers.google.com/solutions/content-driven/backend/testing</w:t>
        </w:r>
      </w:hyperlink>
      <w:r>
        <w:t xml:space="preserve">; AOSP CTS/Tradefed continuous-regression model</w:t>
      </w:r>
      <w:r>
        <w:t xml:space="preserve"> </w:t>
      </w:r>
      <w:hyperlink r:id="rId179">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80"/>
    <w:bookmarkStart w:id="183"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1">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2">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3"/>
    <w:bookmarkStart w:id="190"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4">
        <w:r>
          <w:rPr>
            <w:rStyle w:val="Hyperlink"/>
          </w:rPr>
          <w:t xml:space="preserve">https://developer.android.com/security/fraud-prevention/activities</w:t>
        </w:r>
      </w:hyperlink>
      <w:r>
        <w:t xml:space="preserve">; Nightwatch</w:t>
      </w:r>
      <w:r>
        <w:t xml:space="preserve"> </w:t>
      </w:r>
      <w:hyperlink r:id="rId185">
        <w:r>
          <w:rPr>
            <w:rStyle w:val="Hyperlink"/>
          </w:rPr>
          <w:t xml:space="preserve">https://wwws.nightwatchcybersecurity.com/2016/04/13/research-securing-android-applications-from-screen-capture/</w:t>
        </w:r>
      </w:hyperlink>
      <w:r>
        <w:t xml:space="preserve">; WithSecure</w:t>
      </w:r>
      <w:r>
        <w:t xml:space="preserve"> </w:t>
      </w:r>
      <w:hyperlink r:id="rId186">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7">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8">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9">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90"/>
    <w:bookmarkStart w:id="191"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1"/>
    <w:bookmarkStart w:id="192"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2"/>
    <w:bookmarkStart w:id="193"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3"/>
    <w:bookmarkStart w:id="194"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4"/>
    <w:bookmarkStart w:id="195"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5"/>
    <w:bookmarkStart w:id="19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6"/>
    <w:bookmarkStart w:id="19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7"/>
    <w:bookmarkStart w:id="198"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8"/>
    <w:bookmarkStart w:id="199"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9"/>
    <w:bookmarkStart w:id="200"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200"/>
    <w:bookmarkStart w:id="201"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1"/>
    <w:bookmarkStart w:id="202"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2"/>
    <w:bookmarkStart w:id="203"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3"/>
    <w:bookmarkStart w:id="204"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4"/>
    <w:bookmarkStart w:id="205"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5"/>
    <w:bookmarkStart w:id="206"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6"/>
    <w:bookmarkStart w:id="207"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7"/>
    <w:bookmarkStart w:id="208"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8"/>
    <w:bookmarkStart w:id="209"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9"/>
    <w:bookmarkStart w:id="210"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10"/>
    <w:bookmarkStart w:id="211"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1"/>
    <w:bookmarkStart w:id="212"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2"/>
    <w:bookmarkStart w:id="213"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3"/>
    <w:bookmarkStart w:id="214"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4"/>
    <w:bookmarkStart w:id="216"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5">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6"/>
    <w:bookmarkStart w:id="217"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7"/>
    <w:bookmarkStart w:id="218"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8"/>
    <w:bookmarkStart w:id="219"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9"/>
    <w:bookmarkStart w:id="220"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20"/>
    <w:bookmarkStart w:id="22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1"/>
    <w:bookmarkStart w:id="222"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22"/>
    <w:bookmarkStart w:id="223" w:name="X17b3d59d9dc62b706a66d13f3d0bc86dbeb727e"/>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9">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23"/>
    <w:bookmarkStart w:id="224" w:name="X718e7023d7dc08ffc3503ac7b016e3f71a8b0af"/>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4"/>
    <w:bookmarkEnd w:id="225"/>
    <w:bookmarkStart w:id="233"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6"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6"/>
    <w:bookmarkStart w:id="227"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7"/>
    <w:bookmarkStart w:id="228"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8"/>
    <w:bookmarkStart w:id="229"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9"/>
    <w:bookmarkStart w:id="230"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30"/>
    <w:bookmarkStart w:id="231"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31"/>
    <w:bookmarkStart w:id="232"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2"/>
    <w:bookmarkEnd w:id="233"/>
    <w:bookmarkStart w:id="239"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4">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5">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6">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7">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8">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9"/>
    <w:bookmarkStart w:id="240"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40"/>
    <w:bookmarkStart w:id="278"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41"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41"/>
    <w:bookmarkStart w:id="242"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67"/>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67"/>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67"/>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67"/>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2"/>
    <w:bookmarkStart w:id="243"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3"/>
    <w:bookmarkStart w:id="244"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4"/>
    <w:bookmarkStart w:id="245"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5"/>
    <w:bookmarkStart w:id="246"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6"/>
    <w:bookmarkStart w:id="247"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7"/>
    <w:bookmarkStart w:id="248"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97">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8"/>
    <w:bookmarkStart w:id="249"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9"/>
    <w:bookmarkStart w:id="250"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50"/>
    <w:bookmarkStart w:id="251" w:name="X2da102074e01bb13251bce156332d4c6e8e4f54"/>
    <w:p>
      <w:pPr>
        <w:pStyle w:val="Heading3"/>
      </w:pPr>
      <w:r>
        <w:t xml:space="preserve">§11.4.209 — Code-review MUST run on the Fable model at xhigh effort (Opus xhigh fallback) (User mandate, 2026-07-15)</w:t>
      </w:r>
    </w:p>
    <w:p>
      <w:pPr>
        <w:pStyle w:val="FirstParagraph"/>
      </w:pPr>
      <w:r>
        <w:rPr>
          <w:b/>
          <w:bCs/>
        </w:rPr>
        <w:t xml:space="preserve">Verbatim operator mandate (2026-07-15):</w:t>
      </w:r>
      <w:r>
        <w:t xml:space="preserve"> </w:t>
      </w:r>
      <w:r>
        <w:t xml:space="preserve">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review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effort is REQUIRED in both cases — the exhaustive §11.4.194 all-angle depth is not reachable at a lower effort.</w:t>
      </w:r>
      <w:r>
        <w:t xml:space="preserve"> </w:t>
      </w:r>
      <w:r>
        <w:rPr>
          <w:b/>
          <w:bCs/>
        </w:rPr>
        <w:t xml:space="preserve">(B) Independence preserved (§11.4.70/§11.4.20).</w:t>
      </w:r>
      <w:r>
        <w:t xml:space="preserve"> </w:t>
      </w:r>
      <w:r>
        <w:t xml:space="preserve">The Fable/Opus-xhigh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 weaker model / lower effort than Fable-xhigh (or Opus-xhigh on genuine Fable-unavailability) is a §11.4 bluff at the review-substrate layer — the review's captured evidence MUST record which model + effort actually performed it (and, on fallback, the FACT of Fable's unavailability). STRENGTHENS §11.4.125/§11.4.142/§11.4.194/§11.4.134 — it does NOT replace any of them; it pins the review's execution substrate.</w:t>
      </w:r>
    </w:p>
    <w:p>
      <w:pPr>
        <w:pStyle w:val="BodyText"/>
      </w:pPr>
      <w:r>
        <w:t xml:space="preserve">Classification: universal (§11.4.17). Composes §11.4.125 / §11.4.134 / §11.4.142 / §11.4.194 / §11.4.6 / §11.4.20 / §11.4.70 / §11.4.196 (alias/model selection).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CM-CODE-REVIEW-FABLE-XHIGH</w:t>
      </w:r>
      <w:r>
        <w:t xml:space="preserve"> </w:t>
      </w:r>
      <w:r>
        <w:t xml:space="preserve">(the mandatory code-review's captured evidence records model=Fable + effort=xhigh, OR model=Opus + effort=xhigh with a recorded Fable-unavailability fact) + paired §1.1 meta-test mutation (record a code-review run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bookmarkEnd w:id="251"/>
    <w:bookmarkStart w:id="252"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2"/>
    <w:bookmarkStart w:id="253" w:name="Xeaf1e92a9d37718ec05310cc48b5b0d689bba3a"/>
    <w:p>
      <w:pPr>
        <w:pStyle w:val="Heading3"/>
      </w:pPr>
      <w:r>
        <w:t xml:space="preserve">§11.4.211 — Merge-conflict resolution during main→feature/product/flavor merges MUST run on the Fable model at xhigh effort (Opus xhigh fallback) (User mandate, 2026-07-16)</w:t>
      </w:r>
    </w:p>
    <w:p>
      <w:pPr>
        <w:pStyle w:val="FirstParagraph"/>
      </w:pPr>
      <w:r>
        <w:rPr>
          <w:b/>
          <w:bCs/>
        </w:rPr>
        <w:t xml:space="preserve">Verbatim operator mandate (2026-07-16):</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conflict resolution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effort is REQUIRED in both cases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MUST record which model + effort resolved the conflicts (and, on fallback, the FACT of Fable's unavailability). STRICT EXTENSION of §11.4.209 (which pins Fable-xhigh / Opus-xhigh for code-REVIEW) applied to merge-CONFLICT resolution; STRENGTHENS §11.4.188 / §11.4.195 / §11.4.41 by pinning the substrate of their conflict-resolution step — the two anchors are the review-side (§11.4.209) and merge-side (§11.4.211) halves of the same Fable-xhigh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CM-MERGE-CONFLICT-FABLE-XHIGH</w:t>
      </w:r>
      <w:r>
        <w:t xml:space="preserve"> </w:t>
      </w:r>
      <w:r>
        <w:t xml:space="preserve">(a main→feature/product/flavor merge that resolved conflicts records model=Fable + effort=xhigh, OR model=Opus + effort=xhigh with a recorded Fable-unavailability fact) + paired §1.1 meta-test mutation (record a conflict-resolving merge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bookmarkEnd w:id="253"/>
    <w:bookmarkStart w:id="254"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4"/>
    <w:bookmarkStart w:id="255"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5"/>
    <w:bookmarkStart w:id="256"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56"/>
    <w:bookmarkStart w:id="257"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57"/>
    <w:bookmarkStart w:id="258"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258"/>
    <w:bookmarkStart w:id="259"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259"/>
    <w:bookmarkStart w:id="260"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260"/>
    <w:bookmarkStart w:id="261"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261"/>
    <w:bookmarkStart w:id="262"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262"/>
    <w:bookmarkStart w:id="263"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263"/>
    <w:bookmarkStart w:id="264"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264"/>
    <w:bookmarkStart w:id="265"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265"/>
    <w:bookmarkStart w:id="266"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266"/>
    <w:bookmarkStart w:id="267"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67"/>
    <w:bookmarkStart w:id="268"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268"/>
    <w:bookmarkStart w:id="269"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269"/>
    <w:bookmarkStart w:id="270" w:name="Xaab3d59076e5e1623c5b810cd68e79c46f73765"/>
    <w:p>
      <w:pPr>
        <w:pStyle w:val="Heading3"/>
      </w:pPr>
      <w:r>
        <w:t xml:space="preserve">§11.4.228 — Cross-agent extension lifecycle mandate: per-platform compatibility declaration, source tracking, per-extension documentation with compatibility matrix, and auto-wiring of constitution extensions into all detected agent platforms on constitution pull (research-derived from Extensions Catalog forensics, 2026-07-24)</w:t>
      </w:r>
    </w:p>
    <w:p>
      <w:pPr>
        <w:pStyle w:val="FirstParagraph"/>
      </w:pPr>
      <w:r>
        <w:rPr>
          <w:b/>
          <w:bCs/>
        </w:rPr>
        <w:t xml:space="preserve">Forensic anchor (FACT, 2026-07-24 — measured from the live Extensions Catalog at</w:t>
      </w:r>
      <w:r>
        <w:rPr>
          <w:b/>
          <w:bCs/>
        </w:rPr>
        <w:t xml:space="preserve"> </w:t>
      </w:r>
      <w:r>
        <w:rPr>
          <w:rStyle w:val="VerbatimChar"/>
          <w:b/>
          <w:bCs/>
        </w:rPr>
        <w:t xml:space="preserve">docs/extensions/EXTENSIONS_CATALOG.md</w:t>
      </w:r>
      <w:r>
        <w:rPr>
          <w:b/>
          <w:bCs/>
        </w:rPr>
        <w:t xml:space="preserve">).</w:t>
      </w:r>
      <w:r>
        <w:t xml:space="preserve"> </w:t>
      </w:r>
      <w:r>
        <w:t xml:space="preserve">The project's extension ecosystem — skills, MCP servers, ACPs, LSPs, plugins, and supporting infrastructure (34 skills, 1 MCP, 38 provider aliases, 21 CCR providers, 4 daemons, plus a separate HelixSkills repo) — exhibited four structural gaps:</w:t>
      </w:r>
      <w:r>
        <w:t xml:space="preserve"> </w:t>
      </w:r>
      <w:r>
        <w:rPr>
          <w:b/>
          <w:bCs/>
        </w:rPr>
        <w:t xml:space="preserve">(G1)</w:t>
      </w:r>
      <w:r>
        <w:t xml:space="preserve"> </w:t>
      </w:r>
      <w:r>
        <w:t xml:space="preserve">of 18 active Claude Code project skills, only Claude Code and OpenCode platforms are explicitly supported — HelixCode, Gemini CLI, and Qwen Code have zero recorded loading paths despite being governed by this constitution's own lockstep carriers (§11.4.157 — CLAUDE.md, AGENTS.md, QWEN.md, GEMINI.md);</w:t>
      </w:r>
      <w:r>
        <w:t xml:space="preserve"> </w:t>
      </w:r>
      <w:r>
        <w:rPr>
          <w:b/>
          <w:bCs/>
        </w:rPr>
        <w:t xml:space="preserve">(G2)</w:t>
      </w:r>
      <w:r>
        <w:t xml:space="preserve"> </w:t>
      </w:r>
      <w:r>
        <w:t xml:space="preserve">4 of 18 active skills are symlinks into the constitution submodule (correct pattern) while 14 are local-only directories with NO traceability record to which original source/master each belongs to — a git-archive snapshot of a skill without its origin is a fork with no master;</w:t>
      </w:r>
      <w:r>
        <w:t xml:space="preserve"> </w:t>
      </w:r>
      <w:r>
        <w:rPr>
          <w:b/>
          <w:bCs/>
        </w:rPr>
        <w:t xml:space="preserve">(G3)</w:t>
      </w:r>
      <w:r>
        <w:t xml:space="preserve"> </w:t>
      </w:r>
      <w:r>
        <w:t xml:space="preserve">the Extensions Catalog is a single snapshot document with NO per-extension per-platform compatibility matrix and NO mechanism to re-detect drift when extensions change;</w:t>
      </w:r>
      <w:r>
        <w:t xml:space="preserve"> </w:t>
      </w:r>
      <w:r>
        <w:rPr>
          <w:b/>
          <w:bCs/>
        </w:rPr>
        <w:t xml:space="preserve">(G4)</w:t>
      </w:r>
      <w:r>
        <w:t xml:space="preserve"> </w:t>
      </w:r>
      <w:r>
        <w:t xml:space="preserve">the §11.4.164</w:t>
      </w:r>
      <w:r>
        <w:t xml:space="preserve"> </w:t>
      </w:r>
      <w:r>
        <w:rPr>
          <w:rStyle w:val="VerbatimChar"/>
        </w:rPr>
        <w:t xml:space="preserve">post_update_hook.sh</w:t>
      </w:r>
      <w:r>
        <w:t xml:space="preserve"> </w:t>
      </w:r>
      <w:r>
        <w:t xml:space="preserve">detects changed governance MDs + scripts/hooks/skills/mcp/plugins and registers them, but it does NOT auto-wire constitution skills into all detected agent platforms — 4 constitution skills (</w:t>
      </w:r>
      <w:r>
        <w:rPr>
          <w:rStyle w:val="VerbatimChar"/>
        </w:rPr>
        <w:t xml:space="preserve">media-validator</w:t>
      </w:r>
      <w:r>
        <w:t xml:space="preserve">,</w:t>
      </w:r>
      <w:r>
        <w:t xml:space="preserve"> </w:t>
      </w:r>
      <w:r>
        <w:rPr>
          <w:rStyle w:val="VerbatimChar"/>
        </w:rPr>
        <w:t xml:space="preserve">multitrack</w:t>
      </w:r>
      <w:r>
        <w:t xml:space="preserve">,</w:t>
      </w:r>
      <w:r>
        <w:t xml:space="preserve"> </w:t>
      </w:r>
      <w:r>
        <w:rPr>
          <w:rStyle w:val="VerbatimChar"/>
        </w:rPr>
        <w:t xml:space="preserve">scheduled-work-queue</w:t>
      </w:r>
      <w:r>
        <w:t xml:space="preserve">,</w:t>
      </w:r>
      <w:r>
        <w:t xml:space="preserve"> </w:t>
      </w:r>
      <w:r>
        <w:rPr>
          <w:rStyle w:val="VerbatimChar"/>
        </w:rPr>
        <w:t xml:space="preserve">session-sync</w:t>
      </w:r>
      <w:r>
        <w:t xml:space="preserve">) remain un-wired on both Claude Code (not symlinked into</w:t>
      </w:r>
      <w:r>
        <w:t xml:space="preserve"> </w:t>
      </w:r>
      <w:r>
        <w:rPr>
          <w:rStyle w:val="VerbatimChar"/>
        </w:rPr>
        <w:t xml:space="preserve">.claude/skills/</w:t>
      </w:r>
      <w:r>
        <w:t xml:space="preserve">) and OpenCode (no loading path to</w:t>
      </w:r>
      <w:r>
        <w:t xml:space="preserve"> </w:t>
      </w:r>
      <w:r>
        <w:rPr>
          <w:rStyle w:val="VerbatimChar"/>
        </w:rPr>
        <w:t xml:space="preserve">.opencode/skills/</w:t>
      </w:r>
      <w:r>
        <w:t xml:space="preserve">), silently absent while their governance files claim they exist — the canonical "docs say present, runtime says absent" gap §11.4.108 forbids.</w:t>
      </w:r>
    </w:p>
    <w:p>
      <w:pPr>
        <w:pStyle w:val="BodyText"/>
      </w:pPr>
      <w:r>
        <w:t xml:space="preserve">The mandate (ALL hold — four sub-clauses, one lifecycle):</w:t>
      </w:r>
    </w:p>
    <w:p>
      <w:pPr>
        <w:pStyle w:val="BodyText"/>
      </w:pPr>
      <w:r>
        <w:rPr>
          <w:b/>
          <w:bCs/>
        </w:rPr>
        <w:t xml:space="preserve">(A) Cross-agent extension compatibility.</w:t>
      </w:r>
      <w:r>
        <w:t xml:space="preserve"> </w:t>
      </w:r>
      <w:r>
        <w:t xml:space="preserve">Every extension governed by this constitution — Skill, MCP server, ACP bridge, LSP, plugin, provider alias, embedding, daemon, or any future extension class — MUST:</w:t>
      </w:r>
    </w:p>
    <w:p>
      <w:pPr>
        <w:pStyle w:val="Compact"/>
        <w:numPr>
          <w:ilvl w:val="0"/>
          <w:numId w:val="1268"/>
        </w:numPr>
      </w:pPr>
      <w:r>
        <w:rPr>
          <w:b/>
          <w:bCs/>
        </w:rPr>
        <w:t xml:space="preserve">Ship a per-platform compatibility declaration</w:t>
      </w:r>
      <w:r>
        <w:t xml:space="preserve"> </w:t>
      </w:r>
      <w:r>
        <w:t xml:space="preserve">listing every governed CLI agent platform at minimum: Claude Code, OpenCode, Gemini CLI, Qwen Code. The declaration states, per platform, one of the closed vocabulary:</w:t>
      </w:r>
      <w:r>
        <w:t xml:space="preserve"> </w:t>
      </w:r>
      <w:r>
        <w:rPr>
          <w:rStyle w:val="VerbatimChar"/>
        </w:rPr>
        <w:t xml:space="preserve">SUPPORTED</w:t>
      </w:r>
      <w:r>
        <w:t xml:space="preserve"> </w:t>
      </w:r>
      <w:r>
        <w:t xml:space="preserve">(verified working with a recorded per-platform liveness probe),</w:t>
      </w:r>
      <w:r>
        <w:t xml:space="preserve"> </w:t>
      </w:r>
      <w:r>
        <w:rPr>
          <w:rStyle w:val="VerbatimChar"/>
        </w:rPr>
        <w:t xml:space="preserve">UNTESTED</w:t>
      </w:r>
      <w:r>
        <w:t xml:space="preserve"> </w:t>
      </w:r>
      <w:r>
        <w:t xml:space="preserve">(present but not yet verified — honest gap, tracked per §11.4.197),</w:t>
      </w:r>
      <w:r>
        <w:t xml:space="preserve"> </w:t>
      </w:r>
      <w:r>
        <w:rPr>
          <w:rStyle w:val="VerbatimChar"/>
        </w:rPr>
        <w:t xml:space="preserve">UNSUPPORTED</w:t>
      </w:r>
      <w:r>
        <w:t xml:space="preserve"> </w:t>
      </w:r>
      <w:r>
        <w:t xml:space="preserve">(platform genuinely cannot load this extension class — per §11.4.112 structural-impossibility, with cited evidence), or</w:t>
      </w:r>
      <w:r>
        <w:t xml:space="preserve"> </w:t>
      </w:r>
      <w:r>
        <w:rPr>
          <w:rStyle w:val="VerbatimChar"/>
        </w:rPr>
        <w:t xml:space="preserve">CONFIG-ONLY</w:t>
      </w:r>
      <w:r>
        <w:t xml:space="preserve"> </w:t>
      </w:r>
      <w:r>
        <w:t xml:space="preserve">(declared in config, never verified as wired per §11.4.139).</w:t>
      </w:r>
    </w:p>
    <w:p>
      <w:pPr>
        <w:pStyle w:val="Compact"/>
        <w:numPr>
          <w:ilvl w:val="0"/>
          <w:numId w:val="1268"/>
        </w:numPr>
      </w:pPr>
      <w:r>
        <w:rPr>
          <w:b/>
          <w:bCs/>
        </w:rPr>
        <w:t xml:space="preserve">NEVER cause loops, hangs, crashes, or broken behavior</w:t>
      </w:r>
      <w:r>
        <w:t xml:space="preserve"> </w:t>
      </w:r>
      <w:r>
        <w:t xml:space="preserve">in any platform that attempts to load it. An extension that causes a platform malfunction is a §11.4.228(A) violation of PASS-bluff severity — it claims compatibility it does not provide, producing the exact "green suite but broken-for-user" failure mode §11.4 forbids.</w:t>
      </w:r>
    </w:p>
    <w:p>
      <w:pPr>
        <w:pStyle w:val="Compact"/>
        <w:numPr>
          <w:ilvl w:val="0"/>
          <w:numId w:val="1268"/>
        </w:numPr>
      </w:pPr>
      <w:r>
        <w:rPr>
          <w:b/>
          <w:bCs/>
        </w:rPr>
        <w:t xml:space="preserve">Cross-platform liveness testing is mandatory</w:t>
      </w:r>
      <w:r>
        <w:t xml:space="preserve"> </w:t>
      </w:r>
      <w:r>
        <w:t xml:space="preserve">— the §11.4.169 closed test-type set applies: the extension MUST ship a per-platform liveness test (does the agent load it + produce correct output?) that runs on every declared-SUPPORTED platform at minimum. A platform where testing is genuinely infeasible (no runtime available on this host) is an honest §11.4.3 SKIP-with-reason recorded in the compatibility declaration, NEVER a faked PASS.</w:t>
      </w:r>
    </w:p>
    <w:p>
      <w:pPr>
        <w:pStyle w:val="FirstParagraph"/>
      </w:pPr>
      <w:r>
        <w:rPr>
          <w:b/>
          <w:bCs/>
        </w:rPr>
        <w:t xml:space="preserve">(B) Extension source tracking.</w:t>
      </w:r>
      <w:r>
        <w:t xml:space="preserve"> </w:t>
      </w:r>
      <w:r>
        <w:t xml:space="preserve">Every extension MUST be traceable to its exact original source:</w:t>
      </w:r>
    </w:p>
    <w:p>
      <w:pPr>
        <w:pStyle w:val="Compact"/>
        <w:numPr>
          <w:ilvl w:val="0"/>
          <w:numId w:val="1269"/>
        </w:numPr>
      </w:pPr>
      <w:r>
        <w:rPr>
          <w:b/>
          <w:bCs/>
        </w:rPr>
        <w:t xml:space="preserve">Canonical source record</w:t>
      </w:r>
      <w:r>
        <w:t xml:space="preserve"> </w:t>
      </w:r>
      <w:r>
        <w:t xml:space="preserve">— each extension carries machine-readable provenance: originating repository URL, commit SHA (or tag+delta description when</w:t>
      </w:r>
      <w:r>
        <w:t xml:space="preserve"> </w:t>
      </w:r>
      <w:r>
        <w:rPr>
          <w:rStyle w:val="VerbatimChar"/>
        </w:rPr>
        <w:t xml:space="preserve">UNTRACED</w:t>
      </w:r>
      <w:r>
        <w:t xml:space="preserve">), canonical file path within that origin. This record lives in an</w:t>
      </w:r>
      <w:r>
        <w:t xml:space="preserve"> </w:t>
      </w:r>
      <w:r>
        <w:rPr>
          <w:rStyle w:val="VerbatimChar"/>
        </w:rPr>
        <w:t xml:space="preserve">EXTENSION_SOURCE.yaml</w:t>
      </w:r>
      <w:r>
        <w:t xml:space="preserve"> </w:t>
      </w:r>
      <w:r>
        <w:t xml:space="preserve">in the extension's directory or in a consumer-maintained extensions registry. An extension with no provenance record is</w:t>
      </w:r>
      <w:r>
        <w:t xml:space="preserve"> </w:t>
      </w:r>
      <w:r>
        <w:rPr>
          <w:rStyle w:val="VerbatimChar"/>
        </w:rPr>
        <w:t xml:space="preserve">UNTRACED</w:t>
      </w:r>
      <w:r>
        <w:t xml:space="preserve"> </w:t>
      </w:r>
      <w:r>
        <w:t xml:space="preserve">and a tracked §11.4.197 item — never silently trusted as correct.</w:t>
      </w:r>
    </w:p>
    <w:p>
      <w:pPr>
        <w:pStyle w:val="Compact"/>
        <w:numPr>
          <w:ilvl w:val="0"/>
          <w:numId w:val="1269"/>
        </w:numPr>
      </w:pPr>
      <w:r>
        <w:rPr>
          <w:b/>
          <w:bCs/>
        </w:rPr>
        <w:t xml:space="preserve">Symlinks preferred over copies</w:t>
      </w:r>
      <w:r>
        <w:t xml:space="preserve"> </w:t>
      </w:r>
      <w:r>
        <w:t xml:space="preserve">— a copy is a fork with no master; a symlink (or a git submodule pointer, or a reflink share) preserves the canonical source relationship and makes divergence mechanically detectable. Where a copy is genuinely required (platform cannot traverse symlinks, an out-of-repo directory), the SOURCE record MUST state the canonical origin + why a copy was necessary (§11.4.6 honest rationale). Blind copies without provenance are §11.4.124-class dead-code-in-waiting.</w:t>
      </w:r>
    </w:p>
    <w:p>
      <w:pPr>
        <w:pStyle w:val="Compact"/>
        <w:numPr>
          <w:ilvl w:val="0"/>
          <w:numId w:val="1269"/>
        </w:numPr>
      </w:pPr>
      <w:r>
        <w:rPr>
          <w:b/>
          <w:bCs/>
        </w:rPr>
        <w:t xml:space="preserve">Per-project extensions catalog required</w:t>
      </w:r>
      <w:r>
        <w:t xml:space="preserve"> </w:t>
      </w:r>
      <w:r>
        <w:t xml:space="preserve">— every governed project MUST maintain an extensions catalog (</w:t>
      </w:r>
      <w:r>
        <w:rPr>
          <w:rStyle w:val="VerbatimChar"/>
        </w:rPr>
        <w:t xml:space="preserve">docs/extensions/EXTENSIONS_CATALOG.md</w:t>
      </w:r>
      <w:r>
        <w:t xml:space="preserve"> </w:t>
      </w:r>
      <w:r>
        <w:t xml:space="preserve">or equivalent declared per §11.4.35) enumerating every active extension, its source, its per-platform compatibility status, and its last-verified timestamp. The catalog is §11.4.86 roster/corpus-backed (sha256 fingerprint of the sorted extension keyset, NOT mtime), re-syncs out-of-the-box on any extension change. The catalog is the SINGLE SOURCE OF TRUTH for "what extensions exist" — ad-hoc per-agent skill directories without catalog entries are</w:t>
      </w:r>
      <w:r>
        <w:t xml:space="preserve"> </w:t>
      </w:r>
      <w:r>
        <w:rPr>
          <w:rStyle w:val="VerbatimChar"/>
        </w:rPr>
        <w:t xml:space="preserve">UNCATALOGUED</w:t>
      </w:r>
      <w:r>
        <w:t xml:space="preserve"> </w:t>
      </w:r>
      <w:r>
        <w:t xml:space="preserve">and a tracked §11.4.197 item.</w:t>
      </w:r>
    </w:p>
    <w:p>
      <w:pPr>
        <w:pStyle w:val="FirstParagraph"/>
      </w:pPr>
      <w:r>
        <w:rPr>
          <w:b/>
          <w:bCs/>
        </w:rPr>
        <w:t xml:space="preserve">(C) Mandatory extension documentation with per-platform compatibility matrix.</w:t>
      </w:r>
      <w:r>
        <w:t xml:space="preserve"> </w:t>
      </w:r>
      <w:r>
        <w:t xml:space="preserve">The extensions catalog MUST:</w:t>
      </w:r>
    </w:p>
    <w:p>
      <w:pPr>
        <w:pStyle w:val="Compact"/>
        <w:numPr>
          <w:ilvl w:val="0"/>
          <w:numId w:val="1270"/>
        </w:numPr>
      </w:pPr>
      <w:r>
        <w:t xml:space="preserve">Carry a</w:t>
      </w:r>
      <w:r>
        <w:t xml:space="preserve"> </w:t>
      </w:r>
      <w:r>
        <w:rPr>
          <w:b/>
          <w:bCs/>
        </w:rPr>
        <w:t xml:space="preserve">per-platform compatibility matrix</w:t>
      </w:r>
      <w:r>
        <w:t xml:space="preserve"> </w:t>
      </w:r>
      <w:r>
        <w:t xml:space="preserve">(rows = extensions, columns = governed platforms, cells = compatibility status from the closed vocabulary in clause (A)(1)) — readable at a glance. A cell with no recorded status is</w:t>
      </w:r>
      <w:r>
        <w:t xml:space="preserve"> </w:t>
      </w:r>
      <w:r>
        <w:rPr>
          <w:rStyle w:val="VerbatimChar"/>
        </w:rPr>
        <w:t xml:space="preserve">UNTESTED</w:t>
      </w:r>
      <w:r>
        <w:t xml:space="preserve"> </w:t>
      </w:r>
      <w:r>
        <w:t xml:space="preserve">by default, never silently assumed compatible.</w:t>
      </w:r>
    </w:p>
    <w:p>
      <w:pPr>
        <w:pStyle w:val="Compact"/>
        <w:numPr>
          <w:ilvl w:val="0"/>
          <w:numId w:val="1270"/>
        </w:numPr>
      </w:pPr>
      <w:r>
        <w:t xml:space="preserve">Be maintained per §11.4.65 (four-format export:</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updated on every extension add/change/removal, with §11.4.44 revision header.</w:t>
      </w:r>
    </w:p>
    <w:p>
      <w:pPr>
        <w:pStyle w:val="Compact"/>
        <w:numPr>
          <w:ilvl w:val="0"/>
          <w:numId w:val="1270"/>
        </w:numPr>
      </w:pPr>
      <w:r>
        <w:t xml:space="preserve">Include</w:t>
      </w:r>
      <w:r>
        <w:t xml:space="preserve"> </w:t>
      </w:r>
      <w:r>
        <w:rPr>
          <w:b/>
          <w:bCs/>
        </w:rPr>
        <w:t xml:space="preserve">liveliness testing evidence per platform</w:t>
      </w:r>
      <w:r>
        <w:t xml:space="preserve"> </w:t>
      </w:r>
      <w:r>
        <w:t xml:space="preserve">— per extension × platform, a per-platform probe run result (load-ok / load-failed-for-reason / skip-with-reason) with a timestamp and evidence path per §11.4.69</w:t>
      </w:r>
      <w:r>
        <w:t xml:space="preserve"> </w:t>
      </w:r>
      <w:r>
        <w:rPr>
          <w:rStyle w:val="VerbatimChar"/>
        </w:rPr>
        <w:t xml:space="preserve">feature_class=extension_loading</w:t>
      </w:r>
      <w:r>
        <w:t xml:space="preserve">. A platform declared SUPPORTED with no recorded probe is</w:t>
      </w:r>
      <w:r>
        <w:t xml:space="preserve"> </w:t>
      </w:r>
      <w:r>
        <w:rPr>
          <w:rStyle w:val="VerbatimChar"/>
        </w:rPr>
        <w:t xml:space="preserve">UNTESTED</w:t>
      </w:r>
      <w:r>
        <w:t xml:space="preserve"> </w:t>
      </w:r>
      <w:r>
        <w:t xml:space="preserve">overridden — a classification mismatch and a §11.4.6 violation.</w:t>
      </w:r>
    </w:p>
    <w:p>
      <w:pPr>
        <w:pStyle w:val="Compact"/>
        <w:numPr>
          <w:ilvl w:val="0"/>
          <w:numId w:val="1270"/>
        </w:numPr>
      </w:pPr>
      <w:r>
        <w:t xml:space="preserve">Auto-sync via the §11.4.106 docs-chain engine or equivalent — a stale catalog where extension drift has occurred (catalog says SUPPORTED, extension was removed or renamed) is a §11.4 PASS-bluff at the extension-management layer.</w:t>
      </w:r>
    </w:p>
    <w:p>
      <w:pPr>
        <w:pStyle w:val="FirstParagraph"/>
      </w:pPr>
      <w:r>
        <w:rPr>
          <w:b/>
          <w:bCs/>
        </w:rPr>
        <w:t xml:space="preserve">(D) Auto-wiring of constitution extensions into all detected agent platforms on constitution pull (§11.4.228, STRENGTHENS §11.4.164).</w:t>
      </w:r>
      <w:r>
        <w:t xml:space="preserve"> </w:t>
      </w:r>
      <w:r>
        <w:t xml:space="preserve">The §11.4.164</w:t>
      </w:r>
      <w:r>
        <w:t xml:space="preserve"> </w:t>
      </w:r>
      <w:r>
        <w:rPr>
          <w:rStyle w:val="VerbatimChar"/>
        </w:rPr>
        <w:t xml:space="preserve">post_update_hook.sh</w:t>
      </w:r>
      <w:r>
        <w:t xml:space="preserve"> </w:t>
      </w:r>
      <w:r>
        <w:t xml:space="preserve">seam is EXTENDED — it MUST, after detecting changed extension artifacts in the constitution submodule:</w:t>
      </w:r>
    </w:p>
    <w:p>
      <w:pPr>
        <w:pStyle w:val="Compact"/>
        <w:numPr>
          <w:ilvl w:val="0"/>
          <w:numId w:val="1271"/>
        </w:numPr>
      </w:pPr>
      <w:r>
        <w:rPr>
          <w:b/>
          <w:bCs/>
        </w:rPr>
        <w:t xml:space="preserve">Detect all governed agent platforms</w:t>
      </w:r>
      <w:r>
        <w:t xml:space="preserve"> </w:t>
      </w:r>
      <w:r>
        <w:t xml:space="preserve">on the consuming host (Claude Code via</w:t>
      </w:r>
      <w:r>
        <w:t xml:space="preserve"> </w:t>
      </w:r>
      <w:r>
        <w:rPr>
          <w:rStyle w:val="VerbatimChar"/>
        </w:rPr>
        <w:t xml:space="preserve">.claude/</w:t>
      </w:r>
      <w:r>
        <w:t xml:space="preserve">, OpenCode via</w:t>
      </w:r>
      <w:r>
        <w:t xml:space="preserve"> </w:t>
      </w:r>
      <w:r>
        <w:rPr>
          <w:rStyle w:val="VerbatimChar"/>
        </w:rPr>
        <w:t xml:space="preserve">.opencode/</w:t>
      </w:r>
      <w:r>
        <w:t xml:space="preserve"> </w:t>
      </w:r>
      <w:r>
        <w:t xml:space="preserve">or</w:t>
      </w:r>
      <w:r>
        <w:t xml:space="preserve"> </w:t>
      </w:r>
      <w:r>
        <w:rPr>
          <w:rStyle w:val="VerbatimChar"/>
        </w:rPr>
        <w:t xml:space="preserve">opencode.json</w:t>
      </w:r>
      <w:r>
        <w:t xml:space="preserve">, Gemini CLI via</w:t>
      </w:r>
      <w:r>
        <w:t xml:space="preserve"> </w:t>
      </w:r>
      <w:r>
        <w:rPr>
          <w:rStyle w:val="VerbatimChar"/>
        </w:rPr>
        <w:t xml:space="preserve">~/.gemini/</w:t>
      </w:r>
      <w:r>
        <w:t xml:space="preserve"> </w:t>
      </w:r>
      <w:r>
        <w:t xml:space="preserve">or project</w:t>
      </w:r>
      <w:r>
        <w:t xml:space="preserve"> </w:t>
      </w:r>
      <w:r>
        <w:rPr>
          <w:rStyle w:val="VerbatimChar"/>
        </w:rPr>
        <w:t xml:space="preserve">GEMINI.md</w:t>
      </w:r>
      <w:r>
        <w:t xml:space="preserve">, Qwen Code via</w:t>
      </w:r>
      <w:r>
        <w:t xml:space="preserve"> </w:t>
      </w:r>
      <w:r>
        <w:rPr>
          <w:rStyle w:val="VerbatimChar"/>
        </w:rPr>
        <w:t xml:space="preserve">.qwen/</w:t>
      </w:r>
      <w:r>
        <w:t xml:space="preserve"> </w:t>
      </w:r>
      <w:r>
        <w:t xml:space="preserve">or project</w:t>
      </w:r>
      <w:r>
        <w:t xml:space="preserve"> </w:t>
      </w:r>
      <w:r>
        <w:rPr>
          <w:rStyle w:val="VerbatimChar"/>
        </w:rPr>
        <w:t xml:space="preserve">QWEN.md</w:t>
      </w:r>
      <w:r>
        <w:t xml:space="preserve"> </w:t>
      </w:r>
      <w:r>
        <w:t xml:space="preserve">— the platform-specific detection logic is consumer DATA per §11.4.35, never a hardcoded list). A platform whose detection mechanism is absent is an honest</w:t>
      </w:r>
      <w:r>
        <w:t xml:space="preserve"> </w:t>
      </w:r>
      <w:r>
        <w:rPr>
          <w:rStyle w:val="VerbatimChar"/>
        </w:rPr>
        <w:t xml:space="preserve">DETECTION_UNSUPPORTED</w:t>
      </w:r>
      <w:r>
        <w:t xml:space="preserve"> </w:t>
      </w:r>
      <w:r>
        <w:t xml:space="preserve">gap recorded in the catalog, NOT a reason to skip the remaining platforms.</w:t>
      </w:r>
    </w:p>
    <w:p>
      <w:pPr>
        <w:pStyle w:val="Compact"/>
        <w:numPr>
          <w:ilvl w:val="0"/>
          <w:numId w:val="1271"/>
        </w:numPr>
      </w:pPr>
      <w:r>
        <w:rPr>
          <w:b/>
          <w:bCs/>
        </w:rPr>
        <w:t xml:space="preserve">Wire constitution skills into each detected platform</w:t>
      </w:r>
      <w:r>
        <w:t xml:space="preserve"> </w:t>
      </w:r>
      <w:r>
        <w:t xml:space="preserve">— for each detected platform, for each constitution skill not already present:</w:t>
      </w:r>
    </w:p>
    <w:p>
      <w:pPr>
        <w:pStyle w:val="Compact"/>
        <w:numPr>
          <w:ilvl w:val="1"/>
          <w:numId w:val="1272"/>
        </w:numPr>
      </w:pPr>
      <w:r>
        <w:t xml:space="preserve">Claude Code: symlink from</w:t>
      </w:r>
      <w:r>
        <w:t xml:space="preserve"> </w:t>
      </w:r>
      <w:r>
        <w:rPr>
          <w:rStyle w:val="VerbatimChar"/>
        </w:rPr>
        <w:t xml:space="preserve">.claude/skills/&lt;skill-name&gt;/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OpenCode: symlink from</w:t>
      </w:r>
      <w:r>
        <w:t xml:space="preserve"> </w:t>
      </w:r>
      <w:r>
        <w:rPr>
          <w:rStyle w:val="VerbatimChar"/>
        </w:rPr>
        <w:t xml:space="preserve">.opencode/skills/&lt;skill-name&gt;/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Gemini CLI, Qwen Code: per-platform equivalent wiring mechanism (consumer-supplied DATA, §11.4.35)</w:t>
      </w:r>
    </w:p>
    <w:p>
      <w:pPr>
        <w:pStyle w:val="Compact"/>
        <w:numPr>
          <w:ilvl w:val="0"/>
          <w:numId w:val="1271"/>
        </w:numPr>
      </w:pPr>
      <w:r>
        <w:rPr>
          <w:b/>
          <w:bCs/>
        </w:rPr>
        <w:t xml:space="preserve">Register new/changed MCP servers</w:t>
      </w:r>
      <w:r>
        <w:t xml:space="preserve"> </w:t>
      </w:r>
      <w:r>
        <w:t xml:space="preserve">into each platform's MCP configuration (</w:t>
      </w:r>
      <w:r>
        <w:rPr>
          <w:rStyle w:val="VerbatimChar"/>
        </w:rPr>
        <w:t xml:space="preserve">.mcp.json</w:t>
      </w:r>
      <w:r>
        <w:t xml:space="preserve">,</w:t>
      </w:r>
      <w:r>
        <w:t xml:space="preserve"> </w:t>
      </w:r>
      <w:r>
        <w:rPr>
          <w:rStyle w:val="VerbatimChar"/>
        </w:rPr>
        <w:t xml:space="preserve">opencode.json</w:t>
      </w:r>
      <w:r>
        <w:t xml:space="preserve">, equivalents) — per the existing §11.4.164 MCP-registration seam, applied to every detected platform.</w:t>
      </w:r>
    </w:p>
    <w:p>
      <w:pPr>
        <w:pStyle w:val="Compact"/>
        <w:numPr>
          <w:ilvl w:val="0"/>
          <w:numId w:val="1271"/>
        </w:numPr>
      </w:pPr>
      <w:r>
        <w:rPr>
          <w:b/>
          <w:bCs/>
        </w:rPr>
        <w:t xml:space="preserve">Self-validate</w:t>
      </w:r>
      <w:r>
        <w:t xml:space="preserve"> </w:t>
      </w:r>
      <w:r>
        <w:t xml:space="preserve">— after wiring, probe each platform that supports a</w:t>
      </w:r>
      <w:r>
        <w:t xml:space="preserve"> </w:t>
      </w:r>
      <w:r>
        <w:rPr>
          <w:rStyle w:val="VerbatimChar"/>
        </w:rPr>
        <w:t xml:space="preserve">--list-skills</w:t>
      </w:r>
      <w:r>
        <w:t xml:space="preserve">/</w:t>
      </w:r>
      <w:r>
        <w:rPr>
          <w:rStyle w:val="VerbatimChar"/>
        </w:rPr>
        <w:t xml:space="preserve">--list-extensions</w:t>
      </w:r>
      <w:r>
        <w:t xml:space="preserve"> </w:t>
      </w:r>
      <w:r>
        <w:t xml:space="preserve">equivalent or fall back to a filesystem check (skill/MCP directory present + parseable). A failed wiring is logged as a §11.4.32 post-pull finding — never silently absorbed.</w:t>
      </w:r>
    </w:p>
    <w:p>
      <w:pPr>
        <w:pStyle w:val="Compact"/>
        <w:numPr>
          <w:ilvl w:val="0"/>
          <w:numId w:val="1271"/>
        </w:numPr>
      </w:pPr>
      <w:r>
        <w:rPr>
          <w:b/>
          <w:bCs/>
        </w:rPr>
        <w:t xml:space="preserve">The hook is idempotent</w:t>
      </w:r>
      <w:r>
        <w:t xml:space="preserve"> </w:t>
      </w:r>
      <w:r>
        <w:t xml:space="preserve">— re-running it does not duplicate symlinks, corrupt configs, or lose existing non-constitution extensions. Every operation is dry-run-capable (report what WOULD change without changing it).</w:t>
      </w:r>
    </w:p>
    <w:p>
      <w:pPr>
        <w:pStyle w:val="Compact"/>
        <w:numPr>
          <w:ilvl w:val="0"/>
          <w:numId w:val="1271"/>
        </w:numPr>
      </w:pPr>
      <w:r>
        <w:rPr>
          <w:b/>
          <w:bCs/>
        </w:rPr>
        <w:t xml:space="preserve">Honest boundary (§11.4.6)</w:t>
      </w:r>
      <w:r>
        <w:t xml:space="preserve"> </w:t>
      </w:r>
      <w:r>
        <w:t xml:space="preserve">— auto-wiring makes constitution extensions REACHABLE to each platform; it does NOT guarantee each platform's runtime ACCEPTS them (a platform may have a different skill format, an incompatible MCP protocol, or a missing runtime — all honest</w:t>
      </w:r>
      <w:r>
        <w:t xml:space="preserve"> </w:t>
      </w:r>
      <w:r>
        <w:rPr>
          <w:rStyle w:val="VerbatimChar"/>
        </w:rPr>
        <w:t xml:space="preserve">UNTESTED</w:t>
      </w:r>
      <w:r>
        <w:t xml:space="preserve">/</w:t>
      </w:r>
      <w:r>
        <w:rPr>
          <w:rStyle w:val="VerbatimChar"/>
        </w:rPr>
        <w:t xml:space="preserve">UNSUPPORTED</w:t>
      </w:r>
      <w:r>
        <w:t xml:space="preserve"> </w:t>
      </w:r>
      <w:r>
        <w:t xml:space="preserve">gaps recorded in the catalog, never faked pass), and it does NOT make the extensions correct (§11.4.108 + the extension's own tests). The wiring gap this clause closes is the REACHABILITY gap — a skill that exists in the constitution but is invisible to a governed platform has the gap §11.4.108 forbids (source-present, runtime-absent).</w:t>
      </w:r>
    </w:p>
    <w:p>
      <w:pPr>
        <w:pStyle w:val="FirstParagraph"/>
      </w:pPr>
      <w:r>
        <w:rPr>
          <w:b/>
          <w:bCs/>
        </w:rPr>
        <w:t xml:space="preserve">Composes</w:t>
      </w:r>
      <w:r>
        <w:t xml:space="preserve"> </w:t>
      </w:r>
      <w:r>
        <w:t xml:space="preserve">with §11.4.164 (post_update_hook — the seam this anchor extends) / §11.4.157 (GEMINI.md lockstep — the platforms whose extensions this governs) / §11.4.65 (universal export — the catalog's four formats) / §11.4.86 (roster/corpus-backed auto-sync — the catalog's fingerprint discipline) / §11.4.106 (docs-chain — the catalog's sync engine) / §11.4.69 (sink-side evidence —</w:t>
      </w:r>
      <w:r>
        <w:t xml:space="preserve"> </w:t>
      </w:r>
      <w:r>
        <w:rPr>
          <w:rStyle w:val="VerbatimChar"/>
        </w:rPr>
        <w:t xml:space="preserve">feature_class=extension_loading</w:t>
      </w:r>
      <w:r>
        <w:t xml:space="preserve">) / §11.4.124 (dead-code — blind copies are dead-code-in-waiting) / §11.4.3 (SKIP-with-reason — untestable platforms) / §11.4.112 (structural impossibility —</w:t>
      </w:r>
      <w:r>
        <w:t xml:space="preserve"> </w:t>
      </w:r>
      <w:r>
        <w:rPr>
          <w:rStyle w:val="VerbatimChar"/>
        </w:rPr>
        <w:t xml:space="preserve">UNSUPPORTED</w:t>
      </w:r>
      <w:r>
        <w:t xml:space="preserve"> </w:t>
      </w:r>
      <w:r>
        <w:t xml:space="preserve">platforms) / §11.4.139 (clean artifact —</w:t>
      </w:r>
      <w:r>
        <w:t xml:space="preserve"> </w:t>
      </w:r>
      <w:r>
        <w:rPr>
          <w:rStyle w:val="VerbatimChar"/>
        </w:rPr>
        <w:t xml:space="preserve">CONFIG-ONLY</w:t>
      </w:r>
      <w:r>
        <w:t xml:space="preserve"> </w:t>
      </w:r>
      <w:r>
        <w:t xml:space="preserve">un-wired class) / §11.4.32 (post-pull sweep — wiring failures) / §11.4.108 (runtime signature — a platform load is the extension's runtime signature) / §11.4.197 (research completion — per-platform wiring gaps are tracked items) / §11.4.169 (test types — per-platform liveness tests) / §11.4.142 / §11.4.194 (code-review — extension changes cross the same quality gauntlet). Classification: universal (§11.4.17) — no hardware/vendor/project literal; the consuming project supplies its platform detection mechanism, per-platform wiring commands, extension registry path, and catalog path as DATA per §11.4.35.</w:t>
      </w:r>
    </w:p>
    <w:p>
      <w:pPr>
        <w:pStyle w:val="BodyText"/>
      </w:pPr>
      <w:r>
        <w:rPr>
          <w:b/>
          <w:bCs/>
        </w:rPr>
        <w:t xml:space="preserve">Propagation gate</w:t>
      </w:r>
      <w:r>
        <w:t xml:space="preserve"> </w:t>
      </w:r>
      <w:r>
        <w:rPr>
          <w:rStyle w:val="VerbatimChar"/>
        </w:rPr>
        <w:t xml:space="preserve">CM-COVENANT-114-228-PROPAGATION</w:t>
      </w:r>
      <w:r>
        <w:t xml:space="preserve"> </w:t>
      </w:r>
      <w:r>
        <w:t xml:space="preserve">(literal</w:t>
      </w:r>
      <w:r>
        <w:t xml:space="preserve"> </w:t>
      </w:r>
      <w:r>
        <w:rPr>
          <w:rStyle w:val="VerbatimChar"/>
        </w:rPr>
        <w:t xml:space="preserve">11.4.228</w:t>
      </w:r>
      <w:r>
        <w:t xml:space="preserve">).</w:t>
      </w:r>
      <w:r>
        <w:t xml:space="preserve"> </w:t>
      </w:r>
      <w:r>
        <w:rPr>
          <w:b/>
          <w:bCs/>
        </w:rPr>
        <w:t xml:space="preserve">Recommended gates:</w:t>
      </w:r>
    </w:p>
    <w:p>
      <w:pPr>
        <w:pStyle w:val="Compact"/>
        <w:numPr>
          <w:ilvl w:val="0"/>
          <w:numId w:val="1273"/>
        </w:numPr>
      </w:pPr>
      <w:r>
        <w:rPr>
          <w:rStyle w:val="VerbatimChar"/>
        </w:rPr>
        <w:t xml:space="preserve">CM-EXTENSION-PER-PLATFORM-COMPAT</w:t>
      </w:r>
      <w:r>
        <w:t xml:space="preserve"> </w:t>
      </w:r>
      <w:r>
        <w:t xml:space="preserve">(every governed extension carries a per-platform compatibility declaration using the closed vocabulary; a declared-SUPPORTED platform with no recorded liveness probe → FAIL)</w:t>
      </w:r>
    </w:p>
    <w:p>
      <w:pPr>
        <w:pStyle w:val="Compact"/>
        <w:numPr>
          <w:ilvl w:val="0"/>
          <w:numId w:val="1273"/>
        </w:numPr>
      </w:pPr>
      <w:r>
        <w:rPr>
          <w:rStyle w:val="VerbatimChar"/>
        </w:rPr>
        <w:t xml:space="preserve">CM-EXTENSION-SOURCE-TRACKED</w:t>
      </w:r>
      <w:r>
        <w:t xml:space="preserve"> </w:t>
      </w:r>
      <w:r>
        <w:t xml:space="preserve">(every extension carries provenance with origin repo + commit SHA or explicit</w:t>
      </w:r>
      <w:r>
        <w:t xml:space="preserve"> </w:t>
      </w:r>
      <w:r>
        <w:rPr>
          <w:rStyle w:val="VerbatimChar"/>
        </w:rPr>
        <w:t xml:space="preserve">UNTRACED</w:t>
      </w:r>
      <w:r>
        <w:t xml:space="preserve"> </w:t>
      </w:r>
      <w:r>
        <w:t xml:space="preserve">rationale tracked per §11.4.197; a blind copy without provenance → FAIL)</w:t>
      </w:r>
    </w:p>
    <w:p>
      <w:pPr>
        <w:pStyle w:val="Compact"/>
        <w:numPr>
          <w:ilvl w:val="0"/>
          <w:numId w:val="1273"/>
        </w:numPr>
      </w:pPr>
      <w:r>
        <w:rPr>
          <w:rStyle w:val="VerbatimChar"/>
        </w:rPr>
        <w:t xml:space="preserve">CM-EXTENSION-CATALOG-DOCUMENTED</w:t>
      </w:r>
      <w:r>
        <w:t xml:space="preserve"> </w:t>
      </w:r>
      <w:r>
        <w:t xml:space="preserve">(the extensions catalog exists, carries a per-platform compatibility matrix, is four-format-exported per §11.4.65, and its sha256 fingerprint is fresh per §11.4.86; a stale catalog with extension drift → FAIL)</w:t>
      </w:r>
    </w:p>
    <w:p>
      <w:pPr>
        <w:pStyle w:val="Compact"/>
        <w:numPr>
          <w:ilvl w:val="0"/>
          <w:numId w:val="1273"/>
        </w:numPr>
      </w:pPr>
      <w:r>
        <w:rPr>
          <w:rStyle w:val="VerbatimChar"/>
        </w:rPr>
        <w:t xml:space="preserve">CM-CONSTITUTION-EXTENSIONS-AUTO-WIRED</w:t>
      </w:r>
      <w:r>
        <w:t xml:space="preserve"> </w:t>
      </w:r>
      <w:r>
        <w:t xml:space="preserve">(the §11.4.164</w:t>
      </w:r>
      <w:r>
        <w:t xml:space="preserve"> </w:t>
      </w:r>
      <w:r>
        <w:rPr>
          <w:rStyle w:val="VerbatimChar"/>
        </w:rPr>
        <w:t xml:space="preserve">post_update_hook.sh</w:t>
      </w:r>
      <w:r>
        <w:t xml:space="preserve"> </w:t>
      </w:r>
      <w:r>
        <w:t xml:space="preserve">auto-wires constitution skills into every detected governed platform, idempotently, and self-validates; a constitution skill not wired into a detected SUPPORTED platform → FAIL, with explicit</w:t>
      </w:r>
      <w:r>
        <w:t xml:space="preserve"> </w:t>
      </w:r>
      <w:r>
        <w:rPr>
          <w:rStyle w:val="VerbatimChar"/>
        </w:rPr>
        <w:t xml:space="preserve">DETECTION_UNSUPPORTED</w:t>
      </w:r>
      <w:r>
        <w:t xml:space="preserve"> </w:t>
      </w:r>
      <w:r>
        <w:t xml:space="preserve">/</w:t>
      </w:r>
      <w:r>
        <w:t xml:space="preserve"> </w:t>
      </w:r>
      <w:r>
        <w:rPr>
          <w:rStyle w:val="VerbatimChar"/>
        </w:rPr>
        <w:t xml:space="preserve">UNSUPPORTED</w:t>
      </w:r>
      <w:r>
        <w:t xml:space="preserve"> </w:t>
      </w:r>
      <w:r>
        <w:t xml:space="preserve">SKIP-with-reason — the §11.4.201(1) false-positive guard)</w:t>
      </w:r>
    </w:p>
    <w:p>
      <w:pPr>
        <w:pStyle w:val="FirstParagraph"/>
      </w:pPr>
      <w:r>
        <w:t xml:space="preserve">All paired §1.1 mutations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§11.4.228.</w:t>
      </w:r>
    </w:p>
    <w:p>
      <w:pPr>
        <w:pStyle w:val="BodyText"/>
      </w:pPr>
      <w:r>
        <w:t xml:space="preserve">Non-compliance is a release blocker regardless of context. No escape hatch — no</w:t>
      </w:r>
      <w:r>
        <w:t xml:space="preserve"> </w:t>
      </w:r>
      <w:r>
        <w:rPr>
          <w:rStyle w:val="VerbatimChar"/>
        </w:rPr>
        <w:t xml:space="preserve">--skip-per-platform-compat</w:t>
      </w:r>
      <w:r>
        <w:t xml:space="preserve">,</w:t>
      </w:r>
      <w:r>
        <w:t xml:space="preserve"> </w:t>
      </w:r>
      <w:r>
        <w:rPr>
          <w:rStyle w:val="VerbatimChar"/>
        </w:rPr>
        <w:t xml:space="preserve">--single-platform-OK</w:t>
      </w:r>
      <w:r>
        <w:t xml:space="preserve">,</w:t>
      </w:r>
      <w:r>
        <w:t xml:space="preserve"> </w:t>
      </w:r>
      <w:r>
        <w:rPr>
          <w:rStyle w:val="VerbatimChar"/>
        </w:rPr>
        <w:t xml:space="preserve">--extension-without-provenance</w:t>
      </w:r>
      <w:r>
        <w:t xml:space="preserve">,</w:t>
      </w:r>
      <w:r>
        <w:t xml:space="preserve"> </w:t>
      </w:r>
      <w:r>
        <w:rPr>
          <w:rStyle w:val="VerbatimChar"/>
        </w:rPr>
        <w:t xml:space="preserve">--copies-over-symlinks-OK</w:t>
      </w:r>
      <w:r>
        <w:t xml:space="preserve">,</w:t>
      </w:r>
      <w:r>
        <w:t xml:space="preserve"> </w:t>
      </w:r>
      <w:r>
        <w:rPr>
          <w:rStyle w:val="VerbatimChar"/>
        </w:rPr>
        <w:t xml:space="preserve">--skip-extension-catalog</w:t>
      </w:r>
      <w:r>
        <w:t xml:space="preserve">,</w:t>
      </w:r>
      <w:r>
        <w:t xml:space="preserve"> </w:t>
      </w:r>
      <w:r>
        <w:rPr>
          <w:rStyle w:val="VerbatimChar"/>
        </w:rPr>
        <w:t xml:space="preserve">--catalog-format-optional</w:t>
      </w:r>
      <w:r>
        <w:t xml:space="preserve">,</w:t>
      </w:r>
      <w:r>
        <w:t xml:space="preserve"> </w:t>
      </w:r>
      <w:r>
        <w:rPr>
          <w:rStyle w:val="VerbatimChar"/>
        </w:rPr>
        <w:t xml:space="preserve">--skip-auto-wire</w:t>
      </w:r>
      <w:r>
        <w:t xml:space="preserve">,</w:t>
      </w:r>
      <w:r>
        <w:t xml:space="preserve"> </w:t>
      </w:r>
      <w:r>
        <w:rPr>
          <w:rStyle w:val="VerbatimChar"/>
        </w:rPr>
        <w:t xml:space="preserve">--manual-wiring-suffices</w:t>
      </w:r>
      <w:r>
        <w:t xml:space="preserve">,</w:t>
      </w:r>
      <w:r>
        <w:t xml:space="preserve"> </w:t>
      </w:r>
      <w:r>
        <w:rPr>
          <w:rStyle w:val="VerbatimChar"/>
        </w:rPr>
        <w:t xml:space="preserve">--untraced-extensions-OK</w:t>
      </w:r>
      <w:r>
        <w:t xml:space="preserve"> </w:t>
      </w:r>
      <w:r>
        <w:t xml:space="preserve">flag exists.</w:t>
      </w:r>
    </w:p>
    <w:bookmarkEnd w:id="270"/>
    <w:bookmarkStart w:id="271" w:name="X68bd5528abd02e6196e391154fce3c87c388ba7"/>
    <w:p>
      <w:pPr>
        <w:pStyle w:val="Heading3"/>
      </w:pPr>
      <w:r>
        <w:t xml:space="preserve">§11.4.229 — Live in-session task/todo tracker MUST always be up to date and fully in sync with the real work state — never stale, never showing completed work as pending nor pending as done (User mandate, 2026-07-25)</w:t>
      </w:r>
    </w:p>
    <w:p>
      <w:pPr>
        <w:pStyle w:val="FirstParagraph"/>
      </w:pPr>
      <w:r>
        <w:rPr>
          <w:b/>
          <w:bCs/>
        </w:rPr>
        <w:t xml:space="preserve">Verbatim operator mandate (2026-07-25):</w:t>
      </w:r>
      <w:r>
        <w:t xml:space="preserve"> </w:t>
      </w:r>
      <w:r>
        <w:t xml:space="preserve">"make sure it is ALWAYS up to date fully in sync! CRITICAL: This MUST BE one of mandatory rules / constraints! Add it with all relevant details into the constitution Submodule and relevant related files."</w:t>
      </w:r>
    </w:p>
    <w:p>
      <w:pPr>
        <w:pStyle w:val="BodyText"/>
      </w:pPr>
      <w:r>
        <w:t xml:space="preserve">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It MUST be updated the MOMENT any tracked task's state changes — the instant a task is started (→ in-progress), completed (→ done), blocked, abandoned, split, re-scoped, or newly discovered — not batched to a later checkpoint, not reconstructed from memory at the end of the work, not left reflecting a superseded plan. A live task tracker that lags the real work is itself a §11.4 PASS-bluff at the execution-transparency layer: it reports a work state the agent is not actually in, and an operator (or a resuming agent / conductor reading it per §11.4.116) then makes decisions on a false picture of what is done, what is in flight, and what is owed.</w:t>
      </w:r>
    </w:p>
    <w:p>
      <w:pPr>
        <w:pStyle w:val="BodyText"/>
      </w:pPr>
      <w:r>
        <w:rPr>
          <w:b/>
          <w:bCs/>
        </w:rPr>
        <w:t xml:space="preserve">(A) EVERY STATE-CHANGE UPDATES IT, IMMEDIATELY.</w:t>
      </w:r>
      <w:r>
        <w:t xml:space="preserve"> </w:t>
      </w:r>
      <w:r>
        <w:t xml:space="preserve">The moment a task starts, completes, changes status, or is discovered, the tracker is updated to match — exactly one task marked in-progress at a time where the surface models that single-active-task convention, no completed task left marked pending, no pending task left marked done, no ghost task lingering for work that was dropped (dropped work is closed with a reason, never silently left "in-progress"). Deferring the update ("I'll mark it all done at the end") is precisely the staleness this anchor forbids.</w:t>
      </w:r>
    </w:p>
    <w:p>
      <w:pPr>
        <w:pStyle w:val="BodyText"/>
      </w:pPr>
      <w:r>
        <w:rPr>
          <w:b/>
          <w:bCs/>
        </w:rPr>
        <w:t xml:space="preserve">(B) NEVER STALE, NEVER INVERTED (§11.4.6).</w:t>
      </w:r>
      <w:r>
        <w:t xml:space="preserve"> </w:t>
      </w:r>
      <w:r>
        <w:t xml:space="preserve">The tracker's content is CAPTURED FACT about the real work state — never a guess, never aspirational, never a plan the actual work has since diverged from. Showing completed work as still-pending, or showing pending / blocked / abandoned work as done or in-progress, is a §11.4 / §11.4.1 bluff of PASS-bluff severity (falsely-done) or FAIL-bluff severity (falsely-pending); a tracker that has drifted from reality is corrected the MOMENT the drift is observed, never carried forward.</w:t>
      </w:r>
    </w:p>
    <w:p>
      <w:pPr>
        <w:pStyle w:val="BodyText"/>
      </w:pPr>
      <w:r>
        <w:rPr>
          <w:b/>
          <w:bCs/>
        </w:rPr>
        <w:t xml:space="preserve">(C) DISTINCT ARTIFACT — COMPLEMENTS, NEVER REPLACES.</w:t>
      </w:r>
      <w:r>
        <w:t xml:space="preserve"> </w:t>
      </w:r>
      <w:r>
        <w:t xml:space="preserve">The live in-session task/todo tracker is the EPHEMERAL, moment-to-moment execution-state surface WITHIN a single session — a DIFFERENT artifact from each of: §12.10's version-controlled</w:t>
      </w:r>
      <w:r>
        <w:t xml:space="preserve"> </w:t>
      </w:r>
      <w:r>
        <w:rPr>
          <w:rStyle w:val="VerbatimChar"/>
        </w:rPr>
        <w:t xml:space="preserve">CONTINUATION</w:t>
      </w:r>
      <w:r>
        <w:t xml:space="preserve"> </w:t>
      </w:r>
      <w:r>
        <w:t xml:space="preserve">document, §11.4.131's standing committed session-resumption FILE, §11.4.97's operator-facing milestone progress-update cadence, §11.4.106(F)'s doc/DB sync enforced at the commit / build / constitution-pull WRITE-SEAMS, and §11.4.202 / §11.4.208's workable-item DB and operator-request-history ledgers. Those anchors bind COMMITTED / CROSS-SESSION / OPERATOR-REPORT / TRACKED-WORK artefacts; NONE of them binds the live in-session task/todo tracker itself — §11.4.229 closes exactly that gap. It COMPLEMENTS them (a correct live tracker is the truth the §12.10 / §11.4.131 / §11.4.202 / §11.4.208 artefacts are materialised FROM), never substitutes for any of them, and its always-in-sync discipline is the in-session analogue of §12.10's always-current mandate applied to the harness task list.</w:t>
      </w:r>
    </w:p>
    <w:p>
      <w:pPr>
        <w:pStyle w:val="BodyText"/>
      </w:pPr>
      <w:r>
        <w:rPr>
          <w:b/>
          <w:bCs/>
        </w:rPr>
        <w:t xml:space="preserve">(D) HONEST BOUNDARY (§11.4.6).</w:t>
      </w:r>
      <w:r>
        <w:t xml:space="preserve"> </w:t>
      </w:r>
      <w:r>
        <w:t xml:space="preserve">Where the runtime exposes NO such live task-tracking surface, this anchor is honestly N/A for that runtime (§11.4.3 SKIP-with-reason — the discipline BINDS the moment such a surface exists, per the §11.4.96 latent-binding pattern); it mandates that WHATEVER live tracker the runtime does expose is kept in-sync, not that a particular tool must exist. "In sync" means the tracker reflects the real work state as the agent knows it at that moment — the captured fact of what has started / completed / changed — not omniscience about work the agent has not yet observed.</w:t>
      </w:r>
    </w:p>
    <w:p>
      <w:pPr>
        <w:pStyle w:val="BodyText"/>
      </w:pPr>
      <w:r>
        <w:t xml:space="preserve">Classification: universal (§11.4.17) — a platform-neutral execution-transparency discipline reusable by ANY agent / runtime that exposes a live in-session task/todo tracker; the consuming runtime supplies its concrete tracker surface (harness task list /</w:t>
      </w:r>
      <w:r>
        <w:t xml:space="preserve"> </w:t>
      </w:r>
      <w:r>
        <w:rPr>
          <w:rStyle w:val="VerbatimChar"/>
        </w:rPr>
        <w:t xml:space="preserve">TodoWrite</w:t>
      </w:r>
      <w:r>
        <w:t xml:space="preserve"> </w:t>
      </w:r>
      <w:r>
        <w:t xml:space="preserve">/ equivalent) per §11.4.35. Composes §12.10 (always-current CONTINUATION — §11.4.229 is its live-in-session-tracker analogue) / §11.4.131 (standing session-resumption file) / §11.4.97 (progress-update cadence — the operator-report sibling) / §11.4.106(F) (write-seam doc/DB sync) / §11.4.126 (default autonomous-loop — the loop's live task state IS the tracker) / §11.4.116 (real-time conductor↔framework sync — a resuming conductor reads the live tracker) / §11.4.202 / §11.4.208 (workable-item / request-history materialisation) / §11.4.6 (no-guessing — the tracker is captured fact, never aspirational) / §11.4.1 (falsely-pending is a FAIL-bluff).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w:t>
      </w:r>
      <w:r>
        <w:t xml:space="preserve">across the consumer fleet) + recommended gate</w:t>
      </w:r>
      <w:r>
        <w:t xml:space="preserve"> </w:t>
      </w:r>
      <w:r>
        <w:rPr>
          <w:rStyle w:val="VerbatimChar"/>
        </w:rPr>
        <w:t xml:space="preserve">CM-LIVE-TASK-TRACKER-IN-SYNC</w:t>
      </w:r>
      <w:r>
        <w:t xml:space="preserve"> </w:t>
      </w:r>
      <w:r>
        <w:t xml:space="preserve">(where the runtime exposes a live in-session task/todo tracker, its state matches the real work state at every state-change — no completed-task-marked-pending, no pending-task-marked-done, no ghost/stale entry, no superseded-plan drift; honest §11.4.3 SKIP-with-reason where the surface is genuinely absent — the §11.4.201(1) false-positive guard) + paired §1.1 meta-test mutation (mark a completed task as still-pending, OR a pending/abandoned task as done, OR leave the tracker reflecting a superseded plan → the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§11.4.229.</w:t>
      </w:r>
    </w:p>
    <w:p>
      <w:pPr>
        <w:pStyle w:val="BodyText"/>
      </w:pPr>
      <w:r>
        <w:t xml:space="preserve">Non-compliance is a release blocker regardless of context.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exists.</w:t>
      </w:r>
    </w:p>
    <w:bookmarkEnd w:id="271"/>
    <w:bookmarkStart w:id="272" w:name="Xab4c515fec0d20112db80671910c40fee766fa2"/>
    <w:p>
      <w:pPr>
        <w:pStyle w:val="Heading3"/>
      </w:pPr>
      <w:r>
        <w:t xml:space="preserve">§11.4.230 — Parallelized-pipeline methodology: build↔validate overlap + affected-stages-only re-run + parallel multi-device testing/recording + fan-out-subagents-always (research-derived, 2026-07-26)</w:t>
      </w:r>
    </w:p>
    <w:p>
      <w:pPr>
        <w:pStyle w:val="FirstParagraph"/>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bookmarkEnd w:id="272"/>
    <w:bookmarkStart w:id="273" w:name="X56396c07115fe46824a8a03bf16fb52879b4dff"/>
    <w:p>
      <w:pPr>
        <w:pStyle w:val="Heading3"/>
      </w:pPr>
      <w:r>
        <w:t xml:space="preserve">§11.4.231 — Nano-precision model-tier selection: lightest-capable-model-first with dynamic mid-task escalation (User mandate, 2026-07-26,</w:t>
      </w:r>
      <w:r>
        <w:t xml:space="preserve"> </w:t>
      </w:r>
      <w:r>
        <w:rPr>
          <w:rStyle w:val="VerbatimChar"/>
        </w:rPr>
        <w:t xml:space="preserve">CRITICAL</w:t>
      </w:r>
      <w:r>
        <w:t xml:space="preserve">)</w:t>
      </w:r>
    </w:p>
    <w:p>
      <w:pPr>
        <w:pStyle w:val="FirstParagraph"/>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bookmarkEnd w:id="273"/>
    <w:bookmarkStart w:id="274" w:name="X0ad12098a373d11b20e88eca284c2a5c70f7530"/>
    <w:p>
      <w:pPr>
        <w:pStyle w:val="Heading3"/>
      </w:pPr>
      <w: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FirstParagraph"/>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bookmarkEnd w:id="274"/>
    <w:bookmarkStart w:id="275" w:name="Xf0b37bc5b4ef65c50fe2c4dd1b6f0923bf8263a"/>
    <w:p>
      <w:pPr>
        <w:pStyle w:val="Heading3"/>
      </w:pPr>
      <w: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FirstParagraph"/>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bookmarkEnd w:id="275"/>
    <w:bookmarkStart w:id="276" w:name="X2ba66795a0c56a659acf10c9ae6f5148b1077b1"/>
    <w:p>
      <w:pPr>
        <w:pStyle w:val="Heading3"/>
      </w:pPr>
      <w:r>
        <w:t xml:space="preserve">§11.4.234 — Dedicated hook-validation script: hook checks run as an explicit stage of a dedicated commit/push script, and the commit/push mechanism is ALWAYS unblocked (operator mandate, 2026-07-26)</w:t>
      </w:r>
    </w:p>
    <w:p>
      <w:pPr>
        <w:pStyle w:val="FirstParagraph"/>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bookmarkEnd w:id="276"/>
    <w:bookmarkStart w:id="277" w:name="X2487f836e0eeaef603b4b44a5a28139475d0b12"/>
    <w:p>
      <w:pPr>
        <w:pStyle w:val="Heading3"/>
      </w:pPr>
      <w:r>
        <w:t xml:space="preserve">§11.4.235 — Build-and-deploy the moment source fixes are proven-correct (test-side hardening is a parallel stage, never a build gate) + post-deploy version increment (operator mandate, 2026-07-27)</w:t>
      </w:r>
    </w:p>
    <w:p>
      <w:pPr>
        <w:pStyle w:val="FirstParagraph"/>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277"/>
    <w:bookmarkEnd w:id="278"/>
    <w:bookmarkEnd w:id="2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6"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8" Target="https://mull.readthedocs.io/" TargetMode="External" /><Relationship Type="http://schemas.openxmlformats.org/officeDocument/2006/relationships/hyperlink" Id="rId237" Target="https://mutmut.readthedocs.io/" TargetMode="External" /><Relationship Type="http://schemas.openxmlformats.org/officeDocument/2006/relationships/hyperlink" Id="rId234"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5"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6"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8" Target="https://mull.readthedocs.io/" TargetMode="External" /><Relationship Type="http://schemas.openxmlformats.org/officeDocument/2006/relationships/hyperlink" Id="rId237" Target="https://mutmut.readthedocs.io/" TargetMode="External" /><Relationship Type="http://schemas.openxmlformats.org/officeDocument/2006/relationships/hyperlink" Id="rId234"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5"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2026-07-27T21:31:57Z</dcterms:created>
  <dcterms:modified xsi:type="dcterms:W3CDTF">2026-07-27T21:31:57Z</dcterms:modified>
</cp:coreProperties>
</file>

<file path=docProps/custom.xml><?xml version="1.0" encoding="utf-8"?>
<Properties xmlns="http://schemas.openxmlformats.org/officeDocument/2006/custom-properties" xmlns:vt="http://schemas.openxmlformats.org/officeDocument/2006/docPropsVTypes"/>
</file>