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b06eb5267940e75990f4e64772d799de9da8368"/>
    <w:p>
      <w:pPr>
        <w:pStyle w:val="Heading1"/>
      </w:pPr>
      <w:r>
        <w:t xml:space="preserve">Changelog — HelixDevelopment/HelixConstitution</w:t>
      </w:r>
    </w:p>
    <w:bookmarkStart w:id="12" w:name="Xc6ca98d1bd2fe26803a6fdc1bd84830c5361df3"/>
    <w:p>
      <w:pPr>
        <w:pStyle w:val="Heading2"/>
      </w:pPr>
      <w:r>
        <w:t xml:space="preserve">v1.0.0 — 2026-07-24 — first constitution version tag</w:t>
      </w:r>
    </w:p>
    <w:p>
      <w:pPr>
        <w:pStyle w:val="FirstParagraph"/>
      </w:pPr>
      <w:r>
        <w:t xml:space="preserve">This tag captures the constitution state at the end of the 2026-07-22→24</w:t>
      </w:r>
      <w:r>
        <w:t xml:space="preserve"> </w:t>
      </w:r>
      <w:r>
        <w:t xml:space="preserve">work round, bracketed by</w:t>
      </w:r>
      <w:r>
        <w:t xml:space="preserve"> </w:t>
      </w:r>
      <w:r>
        <w:rPr>
          <w:rStyle w:val="VerbatimChar"/>
        </w:rPr>
        <w:t xml:space="preserve">helixcode-v1.1.0</w:t>
      </w:r>
      <w:r>
        <w:t xml:space="preserve"> </w:t>
      </w:r>
      <w:r>
        <w:t xml:space="preserve">(2026-07-12) and current HEAD.</w:t>
      </w:r>
      <w:r>
        <w:t xml:space="preserve"> </w:t>
      </w:r>
      <w:r>
        <w:rPr>
          <w:b/>
          <w:bCs/>
        </w:rPr>
        <w:t xml:space="preserve">182 commits</w:t>
      </w:r>
      <w:r>
        <w:t xml:space="preserve"> </w:t>
      </w:r>
      <w:r>
        <w:t xml:space="preserve">of systematic governance codification, measurement-semantics</w:t>
      </w:r>
      <w:r>
        <w:t xml:space="preserve"> </w:t>
      </w:r>
      <w:r>
        <w:t xml:space="preserve">harvest, design-methodology round, and tooling hardening.</w:t>
      </w:r>
    </w:p>
    <w:bookmarkStart w:id="9" w:name="added"/>
    <w:p>
      <w:pPr>
        <w:pStyle w:val="Heading3"/>
      </w:pPr>
      <w:r>
        <w:t xml:space="preserve">Added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§11.4.216–223 — Design-methodology codification round (2026-07-22).</w:t>
      </w:r>
      <w:r>
        <w:t xml:space="preserve"> </w:t>
      </w:r>
      <w:r>
        <w:t xml:space="preserve">Eight new anchors codifying the design-methodology harvest from the</w:t>
      </w:r>
      <w:r>
        <w:t xml:space="preserve"> </w:t>
      </w:r>
      <w:r>
        <w:t xml:space="preserve">Helix Thready MVP design: problem-first, research-before-design,</w:t>
      </w:r>
      <w:r>
        <w:t xml:space="preserve"> </w:t>
      </w:r>
      <w:r>
        <w:t xml:space="preserve">architecture-before-components, data-first, security-by-design,</w:t>
      </w:r>
      <w:r>
        <w:t xml:space="preserve"> </w:t>
      </w:r>
      <w:r>
        <w:t xml:space="preserve">testability-by-design, design-documentation, and iterative-design.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§11.4.224 — Test-first (TDD) for all work + &gt;=85% code-coverage floor.</w:t>
      </w:r>
      <w:r>
        <w:t xml:space="preserve"> </w:t>
      </w:r>
      <w:r>
        <w:t xml:space="preserve">Necessary but never sufficient — coverage without runtime-evidence is a</w:t>
      </w:r>
      <w:r>
        <w:t xml:space="preserve"> </w:t>
      </w:r>
      <w:r>
        <w:t xml:space="preserve">§11.4 bluff.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§11.4.225 — Measurement-semantics codification.</w:t>
      </w:r>
      <w:r>
        <w:t xml:space="preserve"> </w:t>
      </w:r>
      <w:r>
        <w:t xml:space="preserve">The distinction</w:t>
      </w:r>
      <w:r>
        <w:t xml:space="preserve"> </w:t>
      </w:r>
      <w:r>
        <w:t xml:space="preserve">between carrier and thing, null-is-not-evidence, and the control-needle</w:t>
      </w:r>
      <w:r>
        <w:t xml:space="preserve"> </w:t>
      </w:r>
      <w:r>
        <w:t xml:space="preserve">principle codified as mandatory rule.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§11.4.226 + §11.4.227 + §11.4.194(6) — Reopen / first-touch root-cause</w:t>
      </w:r>
      <w:r>
        <w:rPr>
          <w:b/>
          <w:bCs/>
        </w:rPr>
        <w:t xml:space="preserve"> </w:t>
      </w:r>
      <w:r>
        <w:rPr>
          <w:b/>
          <w:bCs/>
        </w:rPr>
        <w:t xml:space="preserve">harvest.</w:t>
      </w:r>
      <w:r>
        <w:t xml:space="preserve"> </w:t>
      </w:r>
      <w:r>
        <w:t xml:space="preserve">Reopens now trigger a mandatory systematic-debugging pass and</w:t>
      </w:r>
      <w:r>
        <w:t xml:space="preserve"> </w:t>
      </w:r>
      <w:r>
        <w:t xml:space="preserve">permanent regression guard; first-touch tasks are tracked to prevent</w:t>
      </w:r>
      <w:r>
        <w:t xml:space="preserve"> </w:t>
      </w:r>
      <w:r>
        <w:t xml:space="preserve">silent re-entry.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§11.4.228 — Cross-agent extension lifecycle + speckit exports.</w:t>
      </w:r>
      <w:r>
        <w:t xml:space="preserve"> </w:t>
      </w:r>
      <w:r>
        <w:t xml:space="preserve">Defines the lifecycle for extensions shared across CLI agents and exports</w:t>
      </w:r>
      <w:r>
        <w:t xml:space="preserve"> </w:t>
      </w:r>
      <w:r>
        <w:t xml:space="preserve">the speckit bridge documentation to all governance carrier files.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§11.4.115(G), §11.4.201(9)–(12), §11.4.67(6), §11.4.142-FACT</w:t>
      </w:r>
      <w:r>
        <w:t xml:space="preserve"> </w:t>
      </w:r>
      <w:r>
        <w:t xml:space="preserve">—</w:t>
      </w:r>
      <w:r>
        <w:t xml:space="preserve"> </w:t>
      </w:r>
      <w:r>
        <w:t xml:space="preserve">Extensions from the HEL-010 systematic-debugging / measurement-semantics</w:t>
      </w:r>
      <w:r>
        <w:t xml:space="preserve"> </w:t>
      </w:r>
      <w:r>
        <w:t xml:space="preserve">harvest of 2026-07-23.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Shell-instrument footgun checklist</w:t>
      </w:r>
      <w:r>
        <w:t xml:space="preserve"> </w:t>
      </w:r>
      <w:r>
        <w:t xml:space="preserve">(7 documented footguns — I1 through</w:t>
      </w:r>
      <w:r>
        <w:t xml:space="preserve"> </w:t>
      </w:r>
      <w:r>
        <w:t xml:space="preserve">I7) encoding recurring instrument-caused failures.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Mechanical anti-bluff seams engine</w:t>
      </w:r>
      <w:r>
        <w:t xml:space="preserve"> </w:t>
      </w:r>
      <w:r>
        <w:t xml:space="preserve">(</w:t>
      </w:r>
      <w:r>
        <w:rPr>
          <w:rStyle w:val="VerbatimChar"/>
        </w:rPr>
        <w:t xml:space="preserve">submodules/anti_bluff</w:t>
      </w:r>
      <w:r>
        <w:t xml:space="preserve">) —</w:t>
      </w:r>
      <w:r>
        <w:t xml:space="preserve"> </w:t>
      </w:r>
      <w:r>
        <w:t xml:space="preserve">reusable, decoupled from any single project.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SpecKit-Superpowers bridge documentation</w:t>
      </w:r>
      <w:r>
        <w:t xml:space="preserve"> </w:t>
      </w:r>
      <w:r>
        <w:t xml:space="preserve">— comprehensive implementation</w:t>
      </w:r>
      <w:r>
        <w:t xml:space="preserve"> </w:t>
      </w:r>
      <w:r>
        <w:t xml:space="preserve">guide for the constitution-powered bridge.</w:t>
      </w:r>
    </w:p>
    <w:bookmarkEnd w:id="9"/>
    <w:bookmarkStart w:id="10" w:name="fixed"/>
    <w:p>
      <w:pPr>
        <w:pStyle w:val="Heading3"/>
      </w:pPr>
      <w:r>
        <w:t xml:space="preserve">Fixed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Credential scan (cred-scan) carrier strips #5, #6, #7.</w:t>
      </w:r>
      <w:r>
        <w:t xml:space="preserve"> </w:t>
      </w:r>
      <w:r>
        <w:t xml:space="preserve">Multiple</w:t>
      </w:r>
      <w:r>
        <w:t xml:space="preserve"> </w:t>
      </w:r>
      <w:r>
        <w:t xml:space="preserve">false-positive carrier-identification bugs in detectors 1 and 2 patched</w:t>
      </w:r>
      <w:r>
        <w:t xml:space="preserve"> </w:t>
      </w:r>
      <w:r>
        <w:t xml:space="preserve">(ATM-864): markdown-word heuristic, proximity-window over-match, and</w:t>
      </w:r>
      <w:r>
        <w:t xml:space="preserve"> </w:t>
      </w:r>
      <w:r>
        <w:t xml:space="preserve">value-starts-with-reference/placeholder sigil.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Workable-items engine fixes:</w:t>
      </w:r>
      <w:r>
        <w:t xml:space="preserve"> </w:t>
      </w:r>
      <w:r>
        <w:t xml:space="preserve">reopen body-preservation, orphaned-bullets</w:t>
      </w:r>
      <w:r>
        <w:t xml:space="preserve"> </w:t>
      </w:r>
      <w:r>
        <w:t xml:space="preserve">(F1), SQL index gaps (missing indexes on status/type/location/attribution),</w:t>
      </w:r>
      <w:r>
        <w:t xml:space="preserve"> </w:t>
      </w:r>
      <w:r>
        <w:t xml:space="preserve">unbounded queries, dot-separator for non-canonical IDs.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report_item.sh</w:t>
      </w:r>
      <w:r>
        <w:rPr>
          <w:b/>
          <w:bCs/>
        </w:rPr>
        <w:t xml:space="preserve"> </w:t>
      </w:r>
      <w:r>
        <w:rPr>
          <w:b/>
          <w:bCs/>
        </w:rPr>
        <w:t xml:space="preserve">hardened.</w:t>
      </w:r>
      <w:r>
        <w:t xml:space="preserve"> </w:t>
      </w:r>
      <w:r>
        <w:t xml:space="preserve">Replaced</w:t>
      </w:r>
      <w:r>
        <w:t xml:space="preserve"> </w:t>
      </w:r>
      <w:r>
        <w:rPr>
          <w:rStyle w:val="VerbatimChar"/>
        </w:rPr>
        <w:t xml:space="preserve">eval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bash -c</w:t>
      </w:r>
      <w:r>
        <w:t xml:space="preserve">;</w:t>
      </w:r>
      <w:r>
        <w:t xml:space="preserve"> </w:t>
      </w:r>
      <w:r>
        <w:t xml:space="preserve">indirect expansion for credential checks.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Multitrack hardening:</w:t>
      </w:r>
      <w:r>
        <w:t xml:space="preserve"> </w:t>
      </w:r>
      <w:r>
        <w:t xml:space="preserve">owner-lock fix, probe-race fix, config</w:t>
      </w:r>
      <w:r>
        <w:t xml:space="preserve"> </w:t>
      </w:r>
      <w:r>
        <w:t xml:space="preserve">alias-exclusion, conductor-slot exclusion, §11.4.201(4)/§11.4.111 PARSE</w:t>
      </w:r>
      <w:r>
        <w:t xml:space="preserve"> </w:t>
      </w:r>
      <w:r>
        <w:t xml:space="preserve">guard.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Curl timeouts</w:t>
      </w:r>
      <w:r>
        <w:t xml:space="preserve"> </w:t>
      </w:r>
      <w:r>
        <w:t xml:space="preserve">added across the tooling surface.</w:t>
      </w:r>
    </w:p>
    <w:bookmarkEnd w:id="10"/>
    <w:bookmarkStart w:id="11" w:name="docs"/>
    <w:p>
      <w:pPr>
        <w:pStyle w:val="Heading3"/>
      </w:pPr>
      <w:r>
        <w:t xml:space="preserve">Docs</w:t>
      </w:r>
    </w:p>
    <w:p>
      <w:pPr>
        <w:pStyle w:val="Compact"/>
        <w:numPr>
          <w:ilvl w:val="0"/>
          <w:numId w:val="1003"/>
        </w:numPr>
      </w:pPr>
      <w:r>
        <w:t xml:space="preserve">Companion docs for §11.4.141 (</w:t>
      </w:r>
      <w:r>
        <w:rPr>
          <w:rStyle w:val="VerbatimChar"/>
        </w:rPr>
        <w:t xml:space="preserve">scoped_read.sh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token_efficiency_lib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context_compactor</w:t>
      </w:r>
      <w:r>
        <w:t xml:space="preserve">) per §11.4.18.</w:t>
      </w:r>
    </w:p>
    <w:p>
      <w:pPr>
        <w:pStyle w:val="Compact"/>
        <w:numPr>
          <w:ilvl w:val="0"/>
          <w:numId w:val="1003"/>
        </w:numPr>
      </w:pPr>
      <w:r>
        <w:t xml:space="preserve">Pandoc twins regenerated for Rev 54 (§11.4.216–223 amendment).</w:t>
      </w:r>
    </w:p>
    <w:p>
      <w:pPr>
        <w:pStyle w:val="Compact"/>
        <w:numPr>
          <w:ilvl w:val="0"/>
          <w:numId w:val="1003"/>
        </w:numPr>
      </w:pPr>
      <w:r>
        <w:t xml:space="preserve">BG-QUALITY-ROOTCAUSE Phase 4 deliverables documented.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2026-08-10T10:56:24Z</dcterms:created>
  <dcterms:modified xsi:type="dcterms:W3CDTF">2026-08-10T10:56:24Z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