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0"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5"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2"/>
    <w:bookmarkStart w:id="223"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3"/>
    <w:bookmarkStart w:id="224"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4"/>
    <w:bookmarkEnd w:id="225"/>
    <w:bookmarkStart w:id="233"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6"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6"/>
    <w:bookmarkStart w:id="227"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7"/>
    <w:bookmarkStart w:id="228"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8"/>
    <w:bookmarkStart w:id="229"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9"/>
    <w:bookmarkStart w:id="230"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30"/>
    <w:bookmarkStart w:id="231"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1"/>
    <w:bookmarkStart w:id="232"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2"/>
    <w:bookmarkEnd w:id="233"/>
    <w:bookmarkStart w:id="239"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4">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5">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6">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7">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8">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9"/>
    <w:bookmarkStart w:id="240"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40"/>
    <w:bookmarkStart w:id="279"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41"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41"/>
    <w:bookmarkStart w:id="242"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67"/>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67"/>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67"/>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67"/>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2"/>
    <w:bookmarkStart w:id="243"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3"/>
    <w:bookmarkStart w:id="244"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4"/>
    <w:bookmarkStart w:id="245"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5"/>
    <w:bookmarkStart w:id="246"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6"/>
    <w:bookmarkStart w:id="247"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7"/>
    <w:bookmarkStart w:id="248"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8"/>
    <w:bookmarkStart w:id="249"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9"/>
    <w:bookmarkStart w:id="250"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50"/>
    <w:bookmarkStart w:id="251" w:name="X2da102074e01bb13251bce156332d4c6e8e4f54"/>
    <w:p>
      <w:pPr>
        <w:pStyle w:val="Heading3"/>
      </w:pPr>
      <w:r>
        <w:t xml:space="preserve">§11.4.209 — Code-review MUST run on the Fable model at xhigh effort (Opus xhigh fallback) (User mandate, 2026-07-15)</w:t>
      </w:r>
    </w:p>
    <w:p>
      <w:pPr>
        <w:pStyle w:val="FirstParagraph"/>
      </w:pPr>
      <w:r>
        <w:rPr>
          <w:b/>
          <w:bCs/>
        </w:rPr>
        <w:t xml:space="preserve">Verbatim operator mandate (2026-07-15):</w:t>
      </w:r>
      <w:r>
        <w:t xml:space="preserve"> </w:t>
      </w:r>
      <w:r>
        <w:t xml:space="preserve">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review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effort is REQUIRED in both cases — the exhaustive §11.4.194 all-angle depth is not reachable at a lower effort.</w:t>
      </w:r>
      <w:r>
        <w:t xml:space="preserve"> </w:t>
      </w:r>
      <w:r>
        <w:rPr>
          <w:b/>
          <w:bCs/>
        </w:rPr>
        <w:t xml:space="preserve">(B) Independence preserved (§11.4.70/§11.4.20).</w:t>
      </w:r>
      <w:r>
        <w:t xml:space="preserve"> </w:t>
      </w:r>
      <w:r>
        <w:t xml:space="preserve">The Fable/Opus-xhigh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Fable-xhigh (or Opus-xhigh on genuine Fable-unavailability) is a §11.4 bluff at the review-substrate layer — the review's captured evidence MUST record which model + effort actually performed it (and, on fallback, the FACT of Fable's unavailability). STRENGTHENS §11.4.125/§11.4.142/§11.4.194/§11.4.134 — it does NOT replace any of them; it pins the review's execution substrate.</w:t>
      </w:r>
    </w:p>
    <w:p>
      <w:pPr>
        <w:pStyle w:val="BodyText"/>
      </w:pPr>
      <w:r>
        <w:t xml:space="preserve">Classification: universal (§11.4.17). Composes §11.4.125 / §11.4.134 / §11.4.142 / §11.4.194 / §11.4.6 / §11.4.20 / §11.4.70 / §11.4.196 (alias/model selection).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CM-CODE-REVIEW-FABLE-XHIGH</w:t>
      </w:r>
      <w:r>
        <w:t xml:space="preserve"> </w:t>
      </w:r>
      <w:r>
        <w:t xml:space="preserve">(the mandatory code-review's captured evidence records model=Fable + effort=xhigh, OR model=Opus + effort=xhigh with a recorded Fable-unavailability fact) + paired §1.1 meta-test mutation (record a code-review run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bookmarkEnd w:id="251"/>
    <w:bookmarkStart w:id="252"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2"/>
    <w:bookmarkStart w:id="253"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53"/>
    <w:bookmarkStart w:id="254"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4"/>
    <w:bookmarkStart w:id="255"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5"/>
    <w:bookmarkStart w:id="256"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6"/>
    <w:bookmarkStart w:id="257"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7"/>
    <w:bookmarkStart w:id="258"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8"/>
    <w:bookmarkStart w:id="259"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9"/>
    <w:bookmarkStart w:id="260"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60"/>
    <w:bookmarkStart w:id="261"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61"/>
    <w:bookmarkStart w:id="262"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2"/>
    <w:bookmarkStart w:id="263"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3"/>
    <w:bookmarkStart w:id="264"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4"/>
    <w:bookmarkStart w:id="265"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5"/>
    <w:bookmarkStart w:id="266"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6"/>
    <w:bookmarkStart w:id="267"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7"/>
    <w:bookmarkStart w:id="268"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8"/>
    <w:bookmarkStart w:id="269"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9"/>
    <w:bookmarkStart w:id="270"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68"/>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68"/>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68"/>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69"/>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69"/>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69"/>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0"/>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0"/>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0"/>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0"/>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1"/>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1"/>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2"/>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Gemini CLI, Qwen Code: per-platform equivalent wiring mechanism (consumer-supplied DATA, §11.4.35)</w:t>
      </w:r>
    </w:p>
    <w:p>
      <w:pPr>
        <w:pStyle w:val="Compact"/>
        <w:numPr>
          <w:ilvl w:val="0"/>
          <w:numId w:val="1271"/>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1"/>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1"/>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1"/>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3"/>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3"/>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3"/>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3"/>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70"/>
    <w:bookmarkStart w:id="271"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271"/>
    <w:bookmarkStart w:id="272" w:name="Xab4c515fec0d20112db80671910c40fee766fa2"/>
    <w:p>
      <w:pPr>
        <w:pStyle w:val="Heading3"/>
      </w:pPr>
      <w:r>
        <w:t xml:space="preserve">§11.4.230 — Parallelized-pipeline methodology: build↔validate overlap + affected-stages-only re-run + parallel multi-device testing/recording + fan-out-subagents-always (research-derived, 2026-07-26)</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272"/>
    <w:bookmarkStart w:id="273"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273"/>
    <w:bookmarkStart w:id="274"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274"/>
    <w:bookmarkStart w:id="275"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bookmarkEnd w:id="275"/>
    <w:bookmarkStart w:id="276"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6"/>
    <w:bookmarkStart w:id="277" w:name="X2487f836e0eeaef603b4b44a5a28139475d0b12"/>
    <w:p>
      <w:pPr>
        <w:pStyle w:val="Heading3"/>
      </w:pPr>
      <w:r>
        <w:t xml:space="preserve">§11.4.235 — Build-and-deploy the moment source fixes are proven-correct (test-side hardening is a parallel stage, never a build gate) + post-deploy version increment (operator mandate, 2026-07-27)</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277"/>
    <w:bookmarkStart w:id="278" w:name="X0f0d4cea30052dc4b9b8bde4efe8f4cd7a0327f"/>
    <w:p>
      <w:pPr>
        <w:pStyle w:val="Heading3"/>
      </w:pPr>
      <w:r>
        <w:t xml:space="preserve">§11.4.236 — QA-deploy-readiness gate: no manual-QA hand-off until the mandated validation produced a candidate-fingerprinted PASS verdict; a blocker MUST bind to a seam, never prose (research-derived, 2026-07-31)</w:t>
      </w:r>
    </w:p>
    <w:p>
      <w:pPr>
        <w:pStyle w:val="FirstParagraph"/>
      </w:pPr>
      <w:r>
        <w:rPr>
          <w:b/>
          <w:bCs/>
        </w:rPr>
        <w:t xml:space="preserve">Forensic anchor (genericised, 2026-07-31).</w:t>
      </w:r>
      <w:r>
        <w:t xml:space="preserve"> </w:t>
      </w:r>
      <w:r>
        <w:t xml:space="preserve">An operator declared a specific validation a</w:t>
      </w:r>
      <w:r>
        <w:t xml:space="preserve"> </w:t>
      </w:r>
      <w:r>
        <w:rPr>
          <w:b/>
          <w:bCs/>
        </w:rPr>
        <w:t xml:space="preserve">release-blocking requirement</w:t>
      </w:r>
      <w:r>
        <w:t xml:space="preserve"> </w:t>
      </w:r>
      <w:r>
        <w:t xml:space="preserve">for every QA-deploy ("MANDATORY ... QA MANUAL TESTING READY BLOCKER ... HAS TO BE FULLFILLED COMPLETELY FOR EACH RELEASE"), and it was still not enforced at the next QA-deploy: the validation harness existed and ran, hit an instrument bug (a false-FAIL on later legs), and the blocker was</w:t>
      </w:r>
      <w:r>
        <w:t xml:space="preserve"> </w:t>
      </w:r>
      <w:r>
        <w:rPr>
          <w:b/>
          <w:bCs/>
        </w:rPr>
        <w:t xml:space="preserve">downgraded to a non-blocking follow-up</w:t>
      </w:r>
      <w:r>
        <w:t xml:space="preserve"> </w:t>
      </w:r>
      <w:r>
        <w:t xml:space="preserve">while the deploy proceeded on a weaker side-check. Nothing STOPPED the deploy because the requirement lived as</w:t>
      </w:r>
      <w:r>
        <w:t xml:space="preserve"> </w:t>
      </w:r>
      <w:r>
        <w:rPr>
          <w:b/>
          <w:bCs/>
        </w:rPr>
        <w:t xml:space="preserve">prose</w:t>
      </w:r>
      <w:r>
        <w:t xml:space="preserve"> </w:t>
      </w:r>
      <w:r>
        <w:t xml:space="preserve">(an agent reads it) + a source-gate that asserted the harness</w:t>
      </w:r>
      <w:r>
        <w:t xml:space="preserve"> </w:t>
      </w:r>
      <w:r>
        <w:rPr>
          <w:i/>
          <w:iCs/>
        </w:rPr>
        <w:t xml:space="preserve">exists</w:t>
      </w:r>
      <w:r>
        <w:t xml:space="preserve"> </w:t>
      </w:r>
      <w:r>
        <w:t xml:space="preserve">— NOT a seam that refuses the deploy in the absence of a clean recorded verdict; the deploy tool had</w:t>
      </w:r>
      <w:r>
        <w:t xml:space="preserve"> </w:t>
      </w:r>
      <w:r>
        <w:rPr>
          <w:b/>
          <w:bCs/>
        </w:rPr>
        <w:t xml:space="preserve">zero</w:t>
      </w:r>
      <w:r>
        <w:t xml:space="preserve"> </w:t>
      </w:r>
      <w:r>
        <w:t xml:space="preserve">references to the validation (measured). This is the §11.4.205 "documented-as-enforced but implemented nowhere is worse than no rule" + §11.4.226 "prose doesn't bind, seams do" failure, demonstrated against the operator's own explicit blocker, plus a §11.4.120 judgment error (a bug in a blocker's instrument is not licence to skip the blocker — fix the instrument).</w:t>
      </w:r>
    </w:p>
    <w:p>
      <w:pPr>
        <w:pStyle w:val="BodyText"/>
      </w:pPr>
      <w:r>
        <w:rPr>
          <w:b/>
          <w:bCs/>
        </w:rPr>
        <w:t xml:space="preserve">The mandate (ALL hold).</w:t>
      </w:r>
      <w:r>
        <w:t xml:space="preserve"> </w:t>
      </w:r>
      <w:r>
        <w:t xml:space="preserve">(1)</w:t>
      </w:r>
      <w:r>
        <w:t xml:space="preserve"> </w:t>
      </w:r>
      <w:r>
        <w:rPr>
          <w:b/>
          <w:bCs/>
        </w:rPr>
        <w:t xml:space="preserve">DEPLOY-SEAM VERDICT-COVERAGE (§11.4.135 applied to the QA-deploy seam).</w:t>
      </w:r>
      <w:r>
        <w:t xml:space="preserve"> </w:t>
      </w:r>
      <w:r>
        <w:t xml:space="preserve">A release artifact MUST NOT be deployed, published, or handed off for manual QA (§11.4.185) until the mandated autonomous validation(s) for that artifact produced a</w:t>
      </w:r>
      <w:r>
        <w:t xml:space="preserve"> </w:t>
      </w:r>
      <w:r>
        <w:rPr>
          <w:b/>
          <w:bCs/>
        </w:rPr>
        <w:t xml:space="preserve">machine-written PASS verdict</w:t>
      </w:r>
      <w:r>
        <w:t xml:space="preserve"> </w:t>
      </w:r>
      <w:r>
        <w:t xml:space="preserve">whose</w:t>
      </w:r>
      <w:r>
        <w:t xml:space="preserve"> </w:t>
      </w:r>
      <w:r>
        <w:rPr>
          <w:b/>
          <w:bCs/>
        </w:rPr>
        <w:t xml:space="preserve">artifact fingerprint == the candidate</w:t>
      </w:r>
      <w:r>
        <w:t xml:space="preserve"> </w:t>
      </w:r>
      <w:r>
        <w:t xml:space="preserve">(§11.4.115(F) — the fingerprint READ FROM THE TARGET at run time).</w:t>
      </w:r>
      <w:r>
        <w:t xml:space="preserve"> </w:t>
      </w:r>
      <w:r>
        <w:rPr>
          <w:b/>
          <w:bCs/>
        </w:rPr>
        <w:t xml:space="preserve">ABSENCE of the verdict BLOCKS the deploy exactly as a FAIL does</w:t>
      </w:r>
      <w:r>
        <w:t xml:space="preserve"> </w:t>
      </w:r>
      <w:r>
        <w:t xml:space="preserve">— a not-yet-run validation and a failed one are both refusals, never a silent pass. (2)</w:t>
      </w:r>
      <w:r>
        <w:t xml:space="preserve"> </w:t>
      </w:r>
      <w:r>
        <w:rPr>
          <w:b/>
          <w:bCs/>
        </w:rPr>
        <w:t xml:space="preserve">MECHANICAL, NOT PROSE (§11.4.205/§11.4.226).</w:t>
      </w:r>
      <w:r>
        <w:t xml:space="preserve"> </w:t>
      </w:r>
      <w:r>
        <w:t xml:space="preserve">The refusal lives in the deploy tool itself (the seam), never in prose an agent is trusted to honour; a source-gate that asserts the validation harness</w:t>
      </w:r>
      <w:r>
        <w:t xml:space="preserve"> </w:t>
      </w:r>
      <w:r>
        <w:rPr>
          <w:i/>
          <w:iCs/>
        </w:rPr>
        <w:t xml:space="preserve">exists</w:t>
      </w:r>
      <w:r>
        <w:t xml:space="preserve"> </w:t>
      </w:r>
      <w:r>
        <w:t xml:space="preserve">is necessary-not-sufficient — it does not prove a clean verdict for the candidate. (3)</w:t>
      </w:r>
      <w:r>
        <w:t xml:space="preserve"> </w:t>
      </w:r>
      <w:r>
        <w:rPr>
          <w:b/>
          <w:bCs/>
        </w:rPr>
        <w:t xml:space="preserve">BLOCKER-BINDING RULE.</w:t>
      </w:r>
      <w:r>
        <w:t xml:space="preserve"> </w:t>
      </w:r>
      <w:r>
        <w:t xml:space="preserve">Any requirement an operator declares a blocker (a §11.4.140 CRITICAL, or an explicit "release blocker / QA-ready blocker") MUST be bound to a mechanical seam at the point it gates, never satisfied by prose and never DOWNGRADED to a follow-up — and when the blocker's own INSTRUMENT bugs, the response is §11.4.4/§11.4.120 (STOP, fix the instrument, complete the blocker), never route around it. (4)</w:t>
      </w:r>
      <w:r>
        <w:t xml:space="preserve"> </w:t>
      </w:r>
      <w:r>
        <w:rPr>
          <w:b/>
          <w:bCs/>
        </w:rPr>
        <w:t xml:space="preserve">EXPLICIT, RECORDED OVERRIDE ONLY.</w:t>
      </w:r>
      <w:r>
        <w:t xml:space="preserve"> </w:t>
      </w:r>
      <w:r>
        <w:t xml:space="preserve">The seam has no silent bypass; an override is an explicit, logged, operator-set flag (the §11.4.234/§11.4.135 recorded-deferral pattern — never a follow-up-downgrade, never an opaque skip). (5)</w:t>
      </w:r>
      <w:r>
        <w:t xml:space="preserve"> </w:t>
      </w:r>
      <w:r>
        <w:rPr>
          <w:b/>
          <w:bCs/>
        </w:rPr>
        <w:t xml:space="preserve">THE GATE IS SELF-VALIDATED (§11.4.107(10)/§11.4.201).</w:t>
      </w:r>
      <w:r>
        <w:t xml:space="preserve"> </w:t>
      </w:r>
      <w:r>
        <w:t xml:space="preserve">The deploy seam ships golden-good (verdict present + PASS + fingerprint-match → allow) + golden-bad (absent → refuse / not-pass → refuse / fingerprint-mismatch → refuse), so it cannot itself false-allow; and the verdict-emitter reads the fingerprint from the target at run time, never a hardcoded per-release value (§11.4.111 — a version-pinned validator is the brittleness that lets a stale verdict pass).</w:t>
      </w:r>
      <w:r>
        <w:t xml:space="preserve"> </w:t>
      </w:r>
      <w:r>
        <w:rPr>
          <w:b/>
          <w:bCs/>
        </w:rPr>
        <w:t xml:space="preserve">Honest boundary (§11.4.6):</w:t>
      </w:r>
      <w:r>
        <w:t xml:space="preserve"> </w:t>
      </w:r>
      <w:r>
        <w:t xml:space="preserve">the seam proves a candidate-matching PASS verdict EXISTS for the mandated autonomous validation — it does NOT replace the §11.4.185 manual-QA sufficiency gate (the human check the deploy hands off TO), and it is only as honest as the validation whose verdict it consumes (that validation's own anti-bluff stays §11.4.5/§11.4.69/§11.4.107). Classification: universal (§11.4.17) — consumers supply the mandated-validation set, the verdict path/schema, and the deploy tool per §11.4.35.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(the deploy tool refuses without a candidate-fingerprinted PASS verdict; the gate self-validates golden-good/bad; the verdict-emitter reads the fingerprint at run time) + paired §1.1 mutation (make the deploy tool proceed on an absent/mismatched verdict → the gate FAILs; strip the literal → propagation FAILs; gate-code = separate work item, NOT claimed shipped §11.4.6/§11.4.227).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278"/>
    <w:bookmarkEnd w:id="279"/>
    <w:bookmarkEnd w:id="2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6"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8" Target="https://mull.readthedocs.io/" TargetMode="External" /><Relationship Type="http://schemas.openxmlformats.org/officeDocument/2006/relationships/hyperlink" Id="rId237" Target="https://mutmut.readthedocs.io/" TargetMode="External" /><Relationship Type="http://schemas.openxmlformats.org/officeDocument/2006/relationships/hyperlink" Id="rId234"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5"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6"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8" Target="https://mull.readthedocs.io/" TargetMode="External" /><Relationship Type="http://schemas.openxmlformats.org/officeDocument/2006/relationships/hyperlink" Id="rId237" Target="https://mutmut.readthedocs.io/" TargetMode="External" /><Relationship Type="http://schemas.openxmlformats.org/officeDocument/2006/relationships/hyperlink" Id="rId234"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5"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2026-08-10T10:57:02Z</dcterms:created>
  <dcterms:modified xsi:type="dcterms:W3CDTF">2026-08-10T10:57:02Z</dcterms:modified>
</cp:coreProperties>
</file>

<file path=docProps/custom.xml><?xml version="1.0" encoding="utf-8"?>
<Properties xmlns="http://schemas.openxmlformats.org/officeDocument/2006/custom-properties" xmlns:vt="http://schemas.openxmlformats.org/officeDocument/2006/docPropsVTypes"/>
</file>