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BACKGROUND WORK PREFERENCES — DURABILITY (never lost, never forgotten; composes §11.4.87 / §11.4.94 / §11.4.97 / §11.4.103 / §11.4.126): the MOMENT this BACKGROUND request is received it MUST be recorded as a durable, tracked work item in the project background-work queue (docs/requests/background_queue.md — with an id, received-timestamp, status, and any blocker) so it can NEVER be lost, dropped, or forgotten. It MUST be executed: if it can run now, run it subagent-driven in parallel with all main work streams; if it is currently BLOCKED (subagent dispatch unavailable, a build/flash in flight, an operator-gated decision, or any other external dependency), it MUST stay QUEUED with its blocker recorded and be re-attempted automatically at the next opportunity — including the next fresh session — and re-surfaced to the operator every session until it reaches a terminal state (done / operator-cancelled). Silently dropping, or deferring-and-forgetting, a BACKGROUND request is FORBIDDEN. THEN execute the task as follows: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p>
    <w:p>
      <w:pPr>
        <w:pStyle w:val="BodyText"/>
      </w:pPr>
      <w:r>
        <w:t xml:space="preserve">$ARGUMENTS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2026-08-10T10:55:59Z</dcterms:created>
  <dcterms:modified xsi:type="dcterms:W3CDTF">2026-08-10T10:55:59Z</dcterms:modified>
</cp:coreProperties>
</file>

<file path=docProps/custom.xml><?xml version="1.0" encoding="utf-8"?>
<Properties xmlns="http://schemas.openxmlformats.org/officeDocument/2006/custom-properties" xmlns:vt="http://schemas.openxmlformats.org/officeDocument/2006/docPropsVTypes"/>
</file>