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ISSUE (§11.4.202). The remainder of this prompt is a GENERIC REPORT of something trackable. It MUST be turned into a real, fully-populated workable item — never merely acknowledged, never silently dropped. FIRST classify it into the §11.4.16 CLOSED type set —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(product defect / regression / user-visible broken behaviour),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(a new end-user capability), or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(internal workstream — refactor / doc / infra / gate / audit). There is NO fourth type and NO "issue" type: inventing one is a §11.4.16 violation. Classify from the report's own content, stated as FACT (§11.4.6 — never a guess). If the content does NOT determine the type, ASK the operator which of the three it is (§11.4.66 / §11.4.105) BEFORE creating the item. If — and only if — running autonomously where asking is impossible (§11.4.101), create it with the §11.4.16 lowest-stakes ambiguity default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inside the item's description, and surface the reclassification command to the operator; NEVER silently assert a type the report does not support. THEN create it through the project's reporting engine (</w:t>
      </w:r>
      <w:r>
        <w:rPr>
          <w:rStyle w:val="VerbatimChar"/>
        </w:rPr>
        <w:t xml:space="preserve">constitution/scripts/reporting/report_item.sh --kind issue --type &lt;Bug|Feature|Task&gt; --title &lt;t&gt; --report &lt;text&gt;</w:t>
      </w:r>
      <w:r>
        <w:t xml:space="preserve">), which creates the item in the workable-items SQLite single-source-of-truth (§11.4.93 / §11.4.95 / §11.4.54) with the §11.4.148 / §11.4.171 comprehensive structured description, then regenerates EVERY derived document from the DB (§11.4.12 / §11.4.53 / §11.4.65 / §11.4.106) and pushes to EVERY configured external tracker (§11.4.148 D5) — SKIPPING with an honest reason any tracker whose credentials / client are absent (§11.4.10 / §11.4.6 / §11.4.3), NEVER faking a push. Report back the assigned ticket id + the chosen type + the sync verdict +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2026-08-10T10:56:07Z</dcterms:created>
  <dcterms:modified xsi:type="dcterms:W3CDTF">2026-08-10T10:56:07Z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