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1dd6136b7db0b54fa770acf5a9c2735da1ede3"/>
    <w:p>
      <w:pPr>
        <w:pStyle w:val="Heading1"/>
      </w:pPr>
      <w:r>
        <w:t xml:space="preserve">SOL-05 — Gate Ledger + Implementation Ratchet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2026-07-22T21:10:00Z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PC-4 (rules as prose, not seams) — makes a named-but-unimplemented gate a visible, monotonically-decreasing, citation-guarded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build (pre-build gate) + governance-commit (the ledger regenerates and diffs on every corpus edit)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poc/sol05_gate_ledger/</w:t>
              </w:r>
            </w:hyperlink>
            <w:r>
              <w:t xml:space="preserve"> </w:t>
            </w:r>
            <w:r>
              <w:t xml:space="preserve">— GREEN 7/7, RED-first;</w:t>
            </w:r>
            <w:r>
              <w:t xml:space="preserve"> </w:t>
            </w:r>
            <w:r>
              <w:rPr>
                <w:b/>
                <w:bCs/>
              </w:rPr>
              <w:t xml:space="preserve">live read-only run against the real corpus reproduced M12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§11.4.205 (enforced-not-advisory), §11.4.201(8) (metric validated against definition of done), §11.4.75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413 named CM-* gates; 241 (58%) with no implementation in either canonical gate site; 85</w:t>
      </w:r>
      <w:r>
        <w:rPr>
          <w:b/>
          <w:bCs/>
        </w:rPr>
        <w:t xml:space="preserve"> </w:t>
      </w:r>
      <w:r>
        <w:rPr>
          <w:b/>
          <w:bCs/>
        </w:rPr>
        <w:t xml:space="preserve">explicit "gate-code = separate work item" deferrals</w:t>
      </w:r>
      <w:r>
        <w:t xml:space="preserve"> </w:t>
      </w:r>
      <w:r>
        <w:t xml:space="preserve">[M12].</w:t>
      </w:r>
    </w:p>
    <w:p>
      <w:pPr>
        <w:pStyle w:val="Compact"/>
        <w:numPr>
          <w:ilvl w:val="0"/>
          <w:numId w:val="1001"/>
        </w:numPr>
      </w:pPr>
      <w:r>
        <w:t xml:space="preserve">The custody seam</w:t>
      </w:r>
      <w:r>
        <w:t xml:space="preserve"> </w:t>
      </w:r>
      <w:r>
        <w:rPr>
          <w:i/>
          <w:iCs/>
        </w:rPr>
        <w:t xml:space="preserve">designed on 2026-07-17</w:t>
      </w:r>
      <w:r>
        <w:t xml:space="preserve"> </w:t>
      </w:r>
      <w:r>
        <w:t xml:space="preserve">was still prose on 2026-07-22 [M11] — the corpus's</w:t>
      </w:r>
      <w:r>
        <w:t xml:space="preserve"> </w:t>
      </w:r>
      <w:r>
        <w:t xml:space="preserve">highest-value remediation itself fell into the same gap within five days.</w:t>
      </w:r>
    </w:p>
    <w:p>
      <w:pPr>
        <w:pStyle w:val="Compact"/>
        <w:numPr>
          <w:ilvl w:val="0"/>
          <w:numId w:val="1001"/>
        </w:numPr>
      </w:pPr>
      <w:r>
        <w:t xml:space="preserve">The propagation-gate class enforces the presence of anchor</w:t>
      </w:r>
      <w:r>
        <w:t xml:space="preserve"> </w:t>
      </w:r>
      <w:r>
        <w:rPr>
          <w:b/>
          <w:bCs/>
        </w:rPr>
        <w:t xml:space="preserve">text</w:t>
      </w:r>
      <w:r>
        <w:t xml:space="preserve">, mechanically rewarding</w:t>
      </w:r>
      <w:r>
        <w:t xml:space="preserve"> </w:t>
      </w:r>
      <w:r>
        <w:t xml:space="preserve">restatement over implementation (ROOT_CAUSE §5.3) — the corpus measures its health in words</w:t>
      </w:r>
      <w:r>
        <w:t xml:space="preserve"> </w:t>
      </w:r>
      <w:r>
        <w:t xml:space="preserve">present, so it grows words.</w:t>
      </w:r>
    </w:p>
    <w:p>
      <w:pPr>
        <w:pStyle w:val="Compact"/>
        <w:numPr>
          <w:ilvl w:val="0"/>
          <w:numId w:val="1001"/>
        </w:numPr>
      </w:pPr>
      <w:r>
        <w:t xml:space="preserve">External: the Ontario null (R6.1, S65) — mandated checklist adoption without workflow</w:t>
      </w:r>
      <w:r>
        <w:t xml:space="preserve"> </w:t>
      </w:r>
      <w:r>
        <w:t xml:space="preserve">embedding produced</w:t>
      </w:r>
      <w:r>
        <w:t xml:space="preserve"> </w:t>
      </w:r>
      <w:r>
        <w:rPr>
          <w:b/>
          <w:bCs/>
        </w:rPr>
        <w:t xml:space="preserve">no measurable improvement across 101 hospitals</w:t>
      </w:r>
      <w:r>
        <w:t xml:space="preserve">; "every fully-mechanised</w:t>
      </w:r>
      <w:r>
        <w:t xml:space="preserve"> </w:t>
      </w:r>
      <w:r>
        <w:t xml:space="preserve">rule in the record worked" is the internal complement (ROOT_CAUSE §5.6).</w:t>
      </w:r>
    </w:p>
    <w:p>
      <w:pPr>
        <w:pStyle w:val="FirstParagraph"/>
      </w:pPr>
      <w:r>
        <w:rPr>
          <w:b/>
          <w:bCs/>
        </w:rPr>
        <w:t xml:space="preserve">Live reproduction with this POC's own instrument</w:t>
      </w:r>
      <w:r>
        <w:t xml:space="preserve"> </w:t>
      </w:r>
      <w:r>
        <w:t xml:space="preserve">(read-only, this session —</w:t>
      </w:r>
      <w:r>
        <w:t xml:space="preserve"> </w:t>
      </w:r>
      <w:r>
        <w:rPr>
          <w:rStyle w:val="VerbatimChar"/>
        </w:rPr>
        <w:t xml:space="preserve">evidence/live_ledger_constitution.tsv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named gates extracted from Constitution.md ........ 413   (M12: 413 — exact match)</w:t>
      </w:r>
      <w:r>
        <w:br/>
      </w:r>
      <w:r>
        <w:rPr>
          <w:rStyle w:val="VerbatimChar"/>
        </w:rPr>
        <w:t xml:space="preserve">implemented (token present in an executable site) .. 179</w:t>
      </w:r>
      <w:r>
        <w:br/>
      </w:r>
      <w:r>
        <w:rPr>
          <w:rStyle w:val="VerbatimChar"/>
        </w:rPr>
        <w:t xml:space="preserve">unimplemented ...................................... 234   (M12: 241)</w:t>
      </w:r>
    </w:p>
    <w:p>
      <w:pPr>
        <w:pStyle w:val="FirstParagraph"/>
      </w:pPr>
      <w:r>
        <w:t xml:space="preserve">The 7-gate delta vs M12 is methodological and stated: this instrument counts a token</w:t>
      </w:r>
      <w:r>
        <w:t xml:space="preserve"> </w:t>
      </w:r>
      <w:r>
        <w:rPr>
          <w:i/>
          <w:iCs/>
        </w:rPr>
        <w:t xml:space="preserve">anywhere</w:t>
      </w:r>
      <w:r>
        <w:rPr>
          <w:i/>
          <w:iCs/>
        </w:rPr>
        <w:t xml:space="preserve"> </w:t>
      </w:r>
      <w:r>
        <w:rPr>
          <w:i/>
          <w:iCs/>
        </w:rPr>
        <w:t xml:space="preserve">in an executable file</w:t>
      </w:r>
      <w:r>
        <w:t xml:space="preserve"> </w:t>
      </w:r>
      <w:r>
        <w:t xml:space="preserve">(including comments) as implemented — a slightly laxer structure rule</w:t>
      </w:r>
      <w:r>
        <w:t xml:space="preserve"> </w:t>
      </w:r>
      <w:r>
        <w:t xml:space="preserve">than M12's membership sets. Both agree on the headline:</w:t>
      </w:r>
      <w:r>
        <w:t xml:space="preserve"> </w:t>
      </w:r>
      <w:r>
        <w:rPr>
          <w:b/>
          <w:bCs/>
        </w:rPr>
        <w:t xml:space="preserve">more than half the named enforcement</w:t>
      </w:r>
      <w:r>
        <w:rPr>
          <w:b/>
          <w:bCs/>
        </w:rPr>
        <w:t xml:space="preserve"> </w:t>
      </w:r>
      <w:r>
        <w:rPr>
          <w:b/>
          <w:bCs/>
        </w:rPr>
        <w:t xml:space="preserve">surface does not exist.</w:t>
      </w:r>
    </w:p>
    <w:bookmarkEnd w:id="10"/>
    <w:bookmarkStart w:id="14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drawing>
          <wp:inline>
            <wp:extent cx="5334000" cy="2388053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SOL-05_gate_ledger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Naming a gate becomes a commitment with a same-commit cost</w:t>
      </w:r>
      <w:r>
        <w:t xml:space="preserve">: the moment a</w:t>
      </w:r>
      <w:r>
        <w:t xml:space="preserve"> </w:t>
      </w:r>
      <w:r>
        <w:rPr>
          <w:rStyle w:val="VerbatimChar"/>
        </w:rPr>
        <w:t xml:space="preserve">CM-…</w:t>
      </w:r>
      <w:r>
        <w:t xml:space="preserve"> </w:t>
      </w:r>
      <w:r>
        <w:t xml:space="preserve">token</w:t>
      </w:r>
      <w:r>
        <w:t xml:space="preserve"> </w:t>
      </w:r>
      <w:r>
        <w:t xml:space="preserve">lands in the corpus, the ledger regenerates; the new gate is either IMPLEMENTED (token in an</w:t>
      </w:r>
      <w:r>
        <w:t xml:space="preserve"> </w:t>
      </w:r>
      <w:r>
        <w:t xml:space="preserve">executable site — prose carriers never count, POC case F) or carries a</w:t>
      </w:r>
      <w:r>
        <w:t xml:space="preserve"> </w:t>
      </w:r>
      <w:r>
        <w:rPr>
          <w:b/>
          <w:bCs/>
        </w:rPr>
        <w:t xml:space="preserve">registered deferral</w:t>
      </w:r>
      <w:r>
        <w:rPr>
          <w:b/>
          <w:bCs/>
        </w:rPr>
        <w:t xml:space="preserve"> </w:t>
      </w:r>
      <w:r>
        <w:rPr>
          <w:b/>
          <w:bCs/>
        </w:rPr>
        <w:t xml:space="preserve">row pointing at a tracked work item</w:t>
      </w:r>
      <w:r>
        <w:t xml:space="preserve">. Silent debt — the current 85-deferral/241-gate state —</w:t>
      </w:r>
      <w:r>
        <w:t xml:space="preserve"> </w:t>
      </w:r>
      <w:r>
        <w:t xml:space="preserve">is refused at the build seam.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Monotone ratchet</w:t>
      </w:r>
      <w:r>
        <w:t xml:space="preserve"> </w:t>
      </w:r>
      <w:r>
        <w:t xml:space="preserve">on the unimplemented count: it may only decrease. Per §11.4.201(8) the</w:t>
      </w:r>
      <w:r>
        <w:t xml:space="preserve"> </w:t>
      </w:r>
      <w:r>
        <w:t xml:space="preserve">metric is validated against the definition of done: at the correct end-state (every named</w:t>
      </w:r>
      <w:r>
        <w:t xml:space="preserve"> </w:t>
      </w:r>
      <w:r>
        <w:t xml:space="preserve">gate implemented) the count is 0 — the metric reaches target, valid as a necessary floor.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known gaming channel is closed structurally</w:t>
      </w:r>
      <w:r>
        <w:t xml:space="preserve">: deleting a gate NAME from the corpus</w:t>
      </w:r>
      <w:r>
        <w:t xml:space="preserve"> </w:t>
      </w:r>
      <w:r>
        <w:t xml:space="preserve">would lower the count without implementing anything — so the check diffs the gate-name SET</w:t>
      </w:r>
      <w:r>
        <w:t xml:space="preserve"> </w:t>
      </w:r>
      <w:r>
        <w:t xml:space="preserve">against the previous run and FAILs on any vanished name lacking an explicit removal citation</w:t>
      </w:r>
      <w:r>
        <w:t xml:space="preserve"> </w:t>
      </w:r>
      <w:r>
        <w:t xml:space="preserve">(repeals stay legal and visible — the §11.4.166 pattern; POC cases E/E2).</w:t>
      </w:r>
    </w:p>
    <w:bookmarkEnd w:id="14"/>
    <w:bookmarkStart w:id="15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t xml:space="preserve">RED → GREEN</w:t>
      </w:r>
      <w:r>
        <w:t xml:space="preserve"> </w:t>
      </w:r>
      <w:r>
        <w:rPr>
          <w:b/>
          <w:bCs/>
        </w:rPr>
        <w:t xml:space="preserve">7/7</w:t>
      </w:r>
      <w:r>
        <w:t xml:space="preserve">. The first GREEN attempt itself caught a live instrument trap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evidence/GREEN_attempt1_option_terminator_trap.txt</w:t>
      </w:r>
      <w:r>
        <w:t xml:space="preserve">):</w:t>
      </w:r>
      <w:r>
        <w:t xml:space="preserve"> </w:t>
      </w:r>
      <w:r>
        <w:rPr>
          <w:rStyle w:val="VerbatimChar"/>
        </w:rPr>
        <w:t xml:space="preserve">grep -rlE -- "$g" dir --include='*.sh'</w:t>
      </w:r>
      <w:r>
        <w:t xml:space="preserve"> </w:t>
      </w:r>
      <w:r>
        <w:t xml:space="preserve">put the</w:t>
      </w:r>
      <w:r>
        <w:t xml:space="preserve"> </w:t>
      </w:r>
      <w:r>
        <w:rPr>
          <w:rStyle w:val="VerbatimChar"/>
        </w:rPr>
        <w:t xml:space="preserve">--include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option terminator, turning it into a filename —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carrier silently counted as an implementation. The §11.4.201(7)(c) path-is-part-of-the-instrument</w:t>
      </w:r>
      <w:r>
        <w:t xml:space="preserve"> </w:t>
      </w:r>
      <w:r>
        <w:t xml:space="preserve">class reproduced inside the very tool built to expose it; the test's carrier-control case (F)</w:t>
      </w:r>
      <w:r>
        <w:t xml:space="preserve"> </w:t>
      </w:r>
      <w:r>
        <w:t xml:space="preserve">caught it. Fixed (options before</w:t>
      </w:r>
      <w:r>
        <w:t xml:space="preserve"> </w:t>
      </w:r>
      <w:r>
        <w:rPr>
          <w:rStyle w:val="VerbatimChar"/>
        </w:rPr>
        <w:t xml:space="preserve">--</w:t>
      </w:r>
      <w:r>
        <w:t xml:space="preserve">), transcript preserved.</w:t>
      </w:r>
    </w:p>
    <w:bookmarkEnd w:id="15"/>
    <w:bookmarkStart w:id="16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A gate can no longer be named into existence and then not exist: on a wired consumer, every</w:t>
      </w:r>
      <w:r>
        <w:t xml:space="preserve"> </w:t>
      </w:r>
      <w:r>
        <w:rPr>
          <w:rStyle w:val="VerbatimChar"/>
        </w:rPr>
        <w:t xml:space="preserve">CM-…</w:t>
      </w:r>
      <w:r>
        <w:t xml:space="preserve"> </w:t>
      </w:r>
      <w:r>
        <w:t xml:space="preserve">token is, at every build, either implemented, explicitly deferred to a tracked item, or a</w:t>
      </w:r>
      <w:r>
        <w:t xml:space="preserve"> </w:t>
      </w:r>
      <w:r>
        <w:t xml:space="preserve">build failure. The 58%-silent state and the "designed five days ago, still prose" state [M11]</w:t>
      </w:r>
      <w:r>
        <w:t xml:space="preserve"> </w:t>
      </w:r>
      <w:r>
        <w:t xml:space="preserve">are both unrepresentable — debt survives only in its explicit, counted, shrinking form.</w:t>
      </w:r>
    </w:p>
    <w:bookmarkEnd w:id="16"/>
    <w:bookmarkStart w:id="17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Implementation ≠ enforcement quality.</w:t>
      </w:r>
      <w:r>
        <w:t xml:space="preserve"> </w:t>
      </w:r>
      <w:r>
        <w:t xml:space="preserve">Token-in-an-executable-site proves presence, not</w:t>
      </w:r>
      <w:r>
        <w:t xml:space="preserve"> </w:t>
      </w:r>
      <w:r>
        <w:t xml:space="preserve">that the gate asserts the real condition (§11.4.201) or is wired into the suite's exit path.</w:t>
      </w:r>
      <w:r>
        <w:t xml:space="preserve"> </w:t>
      </w:r>
      <w:r>
        <w:t xml:space="preserve">The stronger structure rule (a registry function each gate must call, making "implemented"</w:t>
      </w:r>
      <w:r>
        <w:t xml:space="preserve"> </w:t>
      </w:r>
      <w:r>
        <w:t xml:space="preserve">= "registered at runtime") is the integration form — this POC's rule is the affordable floor,</w:t>
      </w:r>
      <w:r>
        <w:t xml:space="preserve"> </w:t>
      </w:r>
      <w:r>
        <w:t xml:space="preserve">and its laxness is measured above (7 gates of slack on the real corpus).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Deferral registries can accumulate.</w:t>
      </w:r>
      <w:r>
        <w:t xml:space="preserve"> </w:t>
      </w:r>
      <w:r>
        <w:t xml:space="preserve">A deferral with a tracked item is legal forever under</w:t>
      </w:r>
      <w:r>
        <w:t xml:space="preserve"> </w:t>
      </w:r>
      <w:r>
        <w:t xml:space="preserve">this gate; aging pressure on deferrals (e.g. item-age ceilings) is a policy choice the</w:t>
      </w:r>
      <w:r>
        <w:t xml:space="preserve"> </w:t>
      </w:r>
      <w:r>
        <w:t xml:space="preserve">operator owns (§11.4.66) — not invented 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ledger reads one corpus + one impl tree per invocation</w:t>
      </w:r>
      <w:r>
        <w:t xml:space="preserve">; multi-site consumers compose</w:t>
      </w:r>
      <w:r>
        <w:t xml:space="preserve"> </w:t>
      </w:r>
      <w:r>
        <w:t xml:space="preserve">several runs. The live run above copied both real sites into one tree — integration should</w:t>
      </w:r>
      <w:r>
        <w:t xml:space="preserve"> </w:t>
      </w:r>
      <w:r>
        <w:t xml:space="preserve">pass the real site list as data (§11.4.35).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Brownfield baseline</w:t>
      </w:r>
      <w:r>
        <w:t xml:space="preserve"> </w:t>
      </w:r>
      <w:r>
        <w:t xml:space="preserve">(start at 234 and ratchet down, or hard-fail day one) is an operator</w:t>
      </w:r>
      <w:r>
        <w:t xml:space="preserve"> </w:t>
      </w:r>
      <w:r>
        <w:t xml:space="preserve">§11.4.66 decision, mirroring §11.4.224(E)'s adoption fence — never an invented ratchet.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poc/sol05_gate_ledg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5_gate_ledg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2026-08-10T10:58:54Z</dcterms:created>
  <dcterms:modified xsi:type="dcterms:W3CDTF">2026-08-10T10:58:54Z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