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f10fe94db89ad18b1846728570ce81b7e7b276"/>
    <w:p>
      <w:pPr>
        <w:pStyle w:val="Heading1"/>
      </w:pPr>
      <w:r>
        <w:t xml:space="preserve">Token-Efficiency Measurement — rock-solid anti-bluff proof methodology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2026-06-09T08:30:00Z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design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submodule, universal (§11.4.17). Composes with §11.4.5 / §11.4.6 (no-guessing — measured, never asserted) / §11.4.50 (deterministic consistency) / §11.4.69 (captured-evidence taxonomy) / §1.1 (paired mutation). The headline 60–70% number is NEVER claimed without this harness producing the captured proof.</w:t>
      </w:r>
    </w:p>
    <w:p>
      <w:r>
        <w:pict>
          <v:rect style="width:0;height:1.5pt" o:hralign="center" o:hrstd="t" o:hr="t"/>
        </w:pict>
      </w:r>
    </w:p>
    <w:bookmarkStart w:id="9" w:name="Xa08da36b03943629ecfe88ace65194a41eaed87"/>
    <w:p>
      <w:pPr>
        <w:pStyle w:val="Heading2"/>
      </w:pPr>
      <w:r>
        <w:t xml:space="preserve">0. The anti-bluff bar</w:t>
      </w:r>
    </w:p>
    <w:p>
      <w:pPr>
        <w:pStyle w:val="FirstParagraph"/>
      </w:pPr>
      <w:r>
        <w:t xml:space="preserve">Per §11.4.6 and §11.4.123, the token-efficiency claim is itself subject to the anti-bluff covenant: a "60–70% reduction" statement is a</w:t>
      </w:r>
      <w:r>
        <w:t xml:space="preserve"> </w:t>
      </w:r>
      <w:r>
        <w:rPr>
          <w:b/>
          <w:bCs/>
        </w:rPr>
        <w:t xml:space="preserve">bluff</w:t>
      </w:r>
      <w:r>
        <w:t xml:space="preserve"> </w:t>
      </w:r>
      <w:r>
        <w:t xml:space="preserve">unless it is backed by a captured</w:t>
      </w:r>
      <w:r>
        <w:t xml:space="preserve"> </w:t>
      </w:r>
      <w:r>
        <w:rPr>
          <w:rStyle w:val="VerbatimChar"/>
        </w:rPr>
        <w:t xml:space="preserve">tokens-per-development-cycle</w:t>
      </w:r>
      <w:r>
        <w:t xml:space="preserve"> </w:t>
      </w:r>
      <w:r>
        <w:t xml:space="preserve">measurement on a fixed workload, BEFORE vs AFTER, with the input/output/cached split, produced by a repeatable harness, and reproduced N times (§11.4.50) to identical verdict. The pass criterion is mechanical:</w:t>
      </w:r>
      <w:r>
        <w:t xml:space="preserve"> </w:t>
      </w:r>
      <w:r>
        <w:rPr>
          <w:b/>
          <w:bCs/>
        </w:rPr>
        <w:t xml:space="preserve">AFTER total cost ≤ 40% of BEFORE total cost</w:t>
      </w:r>
      <w:r>
        <w:t xml:space="preserve"> </w:t>
      </w:r>
      <w:r>
        <w:t xml:space="preserve">(target) OR the measured best-safe reduction with a cited reason it cannot reach 40% (cold-cache floor per RESEARCH §5).</w:t>
      </w:r>
    </w:p>
    <w:bookmarkEnd w:id="9"/>
    <w:bookmarkStart w:id="10" w:name="X0d98c000edb214f0957b92dc52a31747ffb1d00"/>
    <w:p>
      <w:pPr>
        <w:pStyle w:val="Heading2"/>
      </w:pPr>
      <w:r>
        <w:t xml:space="preserve">1. The ground-truth token source</w:t>
      </w:r>
    </w:p>
    <w:p>
      <w:pPr>
        <w:pStyle w:val="FirstParagraph"/>
      </w:pPr>
      <w:r>
        <w:rPr>
          <w:b/>
          <w:bCs/>
        </w:rPr>
        <w:t xml:space="preserve">Only the Anthropic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usage</w:t>
      </w:r>
      <w:r>
        <w:rPr>
          <w:b/>
          <w:bCs/>
        </w:rPr>
        <w:t xml:space="preserve"> </w:t>
      </w:r>
      <w:r>
        <w:rPr>
          <w:b/>
          <w:bCs/>
        </w:rPr>
        <w:t xml:space="preserve">object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count_tokens</w:t>
      </w:r>
      <w:r>
        <w:rPr>
          <w:b/>
          <w:bCs/>
        </w:rPr>
        <w:t xml:space="preserve"> </w:t>
      </w:r>
      <w:r>
        <w:rPr>
          <w:b/>
          <w:bCs/>
        </w:rPr>
        <w:t xml:space="preserve">endpoint are authoritative.</w:t>
      </w:r>
      <w:r>
        <w:t xml:space="preserve"> </w:t>
      </w:r>
      <w:r>
        <w:rPr>
          <w:rStyle w:val="VerbatimChar"/>
        </w:rPr>
        <w:t xml:space="preserve">tiktoken</w:t>
      </w:r>
      <w:r>
        <w:t xml:space="preserve"> </w:t>
      </w:r>
      <w:r>
        <w:t xml:space="preserve">is forbidden (undercounts Claude 15–20%+ —</w:t>
      </w:r>
      <w:r>
        <w:t xml:space="preserve"> </w:t>
      </w:r>
      <w:r>
        <w:rPr>
          <w:rStyle w:val="VerbatimChar"/>
        </w:rPr>
        <w:t xml:space="preserve">shared/token-counting.md</w:t>
      </w:r>
      <w:r>
        <w:t xml:space="preserve">). The per-request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object gives the exact split: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Price multiplier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input_tokens</w:t>
            </w:r>
          </w:p>
        </w:tc>
        <w:tc>
          <w:tcPr/>
          <w:p>
            <w:pPr>
              <w:pStyle w:val="Compact"/>
            </w:pPr>
            <w:r>
              <w:t xml:space="preserve">uncached input</w:t>
            </w:r>
          </w:p>
        </w:tc>
        <w:tc>
          <w:tcPr/>
          <w:p>
            <w:pPr>
              <w:pStyle w:val="Compact"/>
            </w:pPr>
            <w:r>
              <w:t xml:space="preserve">1.0×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cache_creation_input_tokens</w:t>
            </w:r>
          </w:p>
        </w:tc>
        <w:tc>
          <w:tcPr/>
          <w:p>
            <w:pPr>
              <w:pStyle w:val="Compact"/>
            </w:pPr>
            <w:r>
              <w:t xml:space="preserve">written to cache this request</w:t>
            </w:r>
          </w:p>
        </w:tc>
        <w:tc>
          <w:tcPr/>
          <w:p>
            <w:pPr>
              <w:pStyle w:val="Compact"/>
            </w:pPr>
            <w:r>
              <w:t xml:space="preserve">1.25× (5m) / 2× (1h)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cache_read_input_tokens</w:t>
            </w:r>
          </w:p>
        </w:tc>
        <w:tc>
          <w:tcPr/>
          <w:p>
            <w:pPr>
              <w:pStyle w:val="Compact"/>
            </w:pPr>
            <w:r>
              <w:t xml:space="preserve">served from cache</w:t>
            </w:r>
          </w:p>
        </w:tc>
        <w:tc>
          <w:tcPr/>
          <w:p>
            <w:pPr>
              <w:pStyle w:val="Compact"/>
            </w:pPr>
            <w:r>
              <w:t xml:space="preserve">0.1×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output_tokens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5× input price (Opus)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Cost formula (per request), using the model's input price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Pin</w:t>
      </w:r>
      <w:r>
        <w:rPr>
          <w:b/>
          <w:bCs/>
        </w:rPr>
        <w:t xml:space="preserve"> </w:t>
      </w:r>
      <w:r>
        <w:rPr>
          <w:b/>
          <w:bCs/>
        </w:rPr>
        <w:t xml:space="preserve">and output price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Pout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shared/models.md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cost = Pin × (input_tokens</w:t>
      </w:r>
      <w:r>
        <w:br/>
      </w:r>
      <w:r>
        <w:rPr>
          <w:rStyle w:val="VerbatimChar"/>
        </w:rPr>
        <w:t xml:space="preserve">             + 0.1 × cache_read_input_tokens</w:t>
      </w:r>
      <w:r>
        <w:br/>
      </w:r>
      <w:r>
        <w:rPr>
          <w:rStyle w:val="VerbatimChar"/>
        </w:rPr>
        <w:t xml:space="preserve">             + 1.25 × cache_creation_input_tokens_5m</w:t>
      </w:r>
      <w:r>
        <w:br/>
      </w:r>
      <w:r>
        <w:rPr>
          <w:rStyle w:val="VerbatimChar"/>
        </w:rPr>
        <w:t xml:space="preserve">             + 2.0  × cache_creation_input_tokens_1h)</w:t>
      </w:r>
      <w:r>
        <w:br/>
      </w:r>
      <w:r>
        <w:rPr>
          <w:rStyle w:val="VerbatimChar"/>
        </w:rPr>
        <w:t xml:space="preserve">     + Pout × output_tokens</w:t>
      </w:r>
    </w:p>
    <w:p>
      <w:pPr>
        <w:pStyle w:val="FirstParagraph"/>
      </w:pPr>
      <w:r>
        <w:t xml:space="preserve">(Opus 4.8: Pin = $5/1M, Pout = $25/1M. Sonnet 4.6: $3/$15. Haiku 4.5: $1/$5.) For multi-model cycles (subagent tiering), sum per-model with that model's prices — this is how M2's savings show up.</w:t>
      </w:r>
    </w:p>
    <w:bookmarkEnd w:id="10"/>
    <w:bookmarkStart w:id="11" w:name="Xe1be6822587ed3141954395025d346c8cab2bc2"/>
    <w:p>
      <w:pPr>
        <w:pStyle w:val="Heading2"/>
      </w:pPr>
      <w:r>
        <w:t xml:space="preserve">2. The fixed measurement workload (the "development cycle")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frozen, scripted, deterministic</w:t>
      </w:r>
      <w:r>
        <w:t xml:space="preserve"> </w:t>
      </w:r>
      <w:r>
        <w:t xml:space="preserve">workload so BEFORE and AFTER are comparable (§11.4.50). Recommended cycle = a representative slice of real project work, fixed and version-pinned:</w:t>
      </w:r>
    </w:p>
    <w:p>
      <w:pPr>
        <w:pStyle w:val="Compact"/>
        <w:numPr>
          <w:ilvl w:val="0"/>
          <w:numId w:val="1001"/>
        </w:numPr>
      </w:pPr>
      <w:r>
        <w:t xml:space="preserve">Session start (governance loaded).</w:t>
      </w:r>
    </w:p>
    <w:p>
      <w:pPr>
        <w:pStyle w:val="Compact"/>
        <w:numPr>
          <w:ilvl w:val="0"/>
          <w:numId w:val="1001"/>
        </w:numPr>
      </w:pPr>
      <w:r>
        <w:t xml:space="preserve">N1 structural-navigation turns (e.g. "where is X / what calls Y") — exercises M4.</w:t>
      </w:r>
    </w:p>
    <w:p>
      <w:pPr>
        <w:pStyle w:val="Compact"/>
        <w:numPr>
          <w:ilvl w:val="0"/>
          <w:numId w:val="1001"/>
        </w:numPr>
      </w:pPr>
      <w:r>
        <w:t xml:space="preserve">N2 file-read + small-edit turns — exercises M3/M6.</w:t>
      </w:r>
    </w:p>
    <w:p>
      <w:pPr>
        <w:pStyle w:val="Compact"/>
        <w:numPr>
          <w:ilvl w:val="0"/>
          <w:numId w:val="1001"/>
        </w:numPr>
      </w:pPr>
      <w:r>
        <w:t xml:space="preserve">N3 mechanical-subagent dispatches (search/grep/status/doc-export) — exercises M2/M5.</w:t>
      </w:r>
    </w:p>
    <w:p>
      <w:pPr>
        <w:pStyle w:val="Compact"/>
        <w:numPr>
          <w:ilvl w:val="0"/>
          <w:numId w:val="1001"/>
        </w:numPr>
      </w:pPr>
      <w:r>
        <w:t xml:space="preserve">N4 reasoning/review turns (strong model) — exercises that the strong path is untouched.</w:t>
      </w:r>
    </w:p>
    <w:p>
      <w:pPr>
        <w:pStyle w:val="Compact"/>
        <w:numPr>
          <w:ilvl w:val="0"/>
          <w:numId w:val="1001"/>
        </w:numPr>
      </w:pPr>
      <w:r>
        <w:t xml:space="preserve">Session end.</w:t>
      </w:r>
    </w:p>
    <w:p>
      <w:pPr>
        <w:pStyle w:val="FirstParagraph"/>
      </w:pPr>
      <w:r>
        <w:t xml:space="preserve">The workload is captured as a script (fixed prompts, fixed file targets, fixed expected actions) so it replays identically. It is committed under</w:t>
      </w:r>
      <w:r>
        <w:t xml:space="preserve"> </w:t>
      </w:r>
      <w:r>
        <w:rPr>
          <w:rStyle w:val="VerbatimChar"/>
        </w:rPr>
        <w:t xml:space="preserve">constitution/docs/research/token_efficiency/workload/</w:t>
      </w:r>
      <w:r>
        <w:t xml:space="preserve"> </w:t>
      </w:r>
      <w:r>
        <w:t xml:space="preserve">(or the consuming project's equivalent) so any agent can re-run it.</w:t>
      </w:r>
    </w:p>
    <w:bookmarkEnd w:id="11"/>
    <w:bookmarkStart w:id="12" w:name="X7a4a3f93e71445cf7aa465aabdd3a8bf7a27f0d"/>
    <w:p>
      <w:pPr>
        <w:pStyle w:val="Heading2"/>
      </w:pPr>
      <w:r>
        <w:t xml:space="preserve">3. The harness</w:t>
      </w:r>
    </w:p>
    <w:p>
      <w:pPr>
        <w:pStyle w:val="FirstParagraph"/>
      </w:pPr>
      <w:r>
        <w:rPr>
          <w:rStyle w:val="VerbatimChar"/>
        </w:rPr>
        <w:t xml:space="preserve">token_accounting.sh</w:t>
      </w:r>
      <w:r>
        <w:t xml:space="preserve"> </w:t>
      </w:r>
      <w:r>
        <w:t xml:space="preserve">(or a small Go/Python program — universal, project supplies model IDs):</w:t>
      </w:r>
    </w:p>
    <w:p>
      <w:pPr>
        <w:pStyle w:val="Compact"/>
        <w:numPr>
          <w:ilvl w:val="0"/>
          <w:numId w:val="1002"/>
        </w:numPr>
      </w:pPr>
      <w:r>
        <w:t xml:space="preserve">Runs the fixed workload against the agent.</w:t>
      </w:r>
    </w:p>
    <w:p>
      <w:pPr>
        <w:pStyle w:val="Compact"/>
        <w:numPr>
          <w:ilvl w:val="0"/>
          <w:numId w:val="1002"/>
        </w:numPr>
      </w:pPr>
      <w:r>
        <w:t xml:space="preserve">Captures every request's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object (via the SDK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field, or Claude Code's</w:t>
      </w:r>
      <w:r>
        <w:t xml:space="preserve"> </w:t>
      </w:r>
      <w:r>
        <w:rPr>
          <w:rStyle w:val="VerbatimChar"/>
        </w:rPr>
        <w:t xml:space="preserve">--output-format json</w:t>
      </w:r>
      <w:r>
        <w:t xml:space="preserve"> </w:t>
      </w:r>
      <w:r>
        <w:t xml:space="preserve">/ cost-tracking surface —</w:t>
      </w:r>
      <w:r>
        <w:t xml:space="preserve"> </w:t>
      </w:r>
      <w:r>
        <w:rPr>
          <w:rStyle w:val="VerbatimChar"/>
        </w:rPr>
        <w:t xml:space="preserve">https://code.claude.com/docs/en/agent-sdk/cost-tracking</w:t>
      </w:r>
      <w:r>
        <w:t xml:space="preserve">; note</w:t>
      </w:r>
      <w:r>
        <w:t xml:space="preserve"> </w:t>
      </w:r>
      <w:r>
        <w:rPr>
          <w:rStyle w:val="VerbatimChar"/>
        </w:rPr>
        <w:t xml:space="preserve">total_cost_usd</w:t>
      </w:r>
      <w:r>
        <w:t xml:space="preserve"> </w:t>
      </w:r>
      <w:r>
        <w:t xml:space="preserve">is a client-side estimate, so the harness recomputes cost from the raw token fields with the price table, never trusts the estimate).</w:t>
      </w:r>
    </w:p>
    <w:p>
      <w:pPr>
        <w:pStyle w:val="Compact"/>
        <w:numPr>
          <w:ilvl w:val="0"/>
          <w:numId w:val="1002"/>
        </w:numPr>
      </w:pPr>
      <w:r>
        <w:t xml:space="preserve">Aggregates per cycle:</w:t>
      </w:r>
      <w:r>
        <w:t xml:space="preserve"> </w:t>
      </w:r>
      <w:r>
        <w:rPr>
          <w:rStyle w:val="VerbatimChar"/>
        </w:rPr>
        <w:t xml:space="preserve">Σ input_tokens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Σ cache_read_input_tokens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Σ cache_creation_input_tokens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Σ output_tokens</w:t>
      </w:r>
      <w:r>
        <w:t xml:space="preserve">, and the computed</w:t>
      </w:r>
      <w:r>
        <w:t xml:space="preserve"> </w:t>
      </w:r>
      <w:r>
        <w:rPr>
          <w:rStyle w:val="VerbatimChar"/>
        </w:rPr>
        <w:t xml:space="preserve">cost</w:t>
      </w:r>
      <w:r>
        <w:t xml:space="preserve"> </w:t>
      </w:r>
      <w:r>
        <w:t xml:space="preserve">(§1 formula), split by model.</w:t>
      </w:r>
    </w:p>
    <w:p>
      <w:pPr>
        <w:pStyle w:val="Compact"/>
        <w:numPr>
          <w:ilvl w:val="0"/>
          <w:numId w:val="1002"/>
        </w:numPr>
      </w:pPr>
      <w:r>
        <w:t xml:space="preserve">Emits</w:t>
      </w:r>
      <w:r>
        <w:t xml:space="preserve"> </w:t>
      </w:r>
      <w:r>
        <w:rPr>
          <w:rStyle w:val="VerbatimChar"/>
        </w:rPr>
        <w:t xml:space="preserve">cycle_report.json</w:t>
      </w:r>
      <w:r>
        <w:t xml:space="preserve"> </w:t>
      </w:r>
      <w:r>
        <w:t xml:space="preserve">(captured-evidence artefact per §11.4.69 — feature class implied:</w:t>
      </w:r>
      <w:r>
        <w:t xml:space="preserve"> </w:t>
      </w:r>
      <w:r>
        <w:rPr>
          <w:rStyle w:val="VerbatimChar"/>
        </w:rPr>
        <w:t xml:space="preserve">token_efficiency</w:t>
      </w:r>
      <w:r>
        <w:t xml:space="preserve">).</w:t>
      </w:r>
    </w:p>
    <w:bookmarkEnd w:id="12"/>
    <w:bookmarkStart w:id="13" w:name="X6664a23a4bce1de0a5d9b35e4558c9bac0bb52b"/>
    <w:p>
      <w:pPr>
        <w:pStyle w:val="Heading2"/>
      </w:pPr>
      <w:r>
        <w:t xml:space="preserve">4. Baseline capture (BEFORE)</w:t>
      </w:r>
    </w:p>
    <w:p>
      <w:pPr>
        <w:pStyle w:val="FirstParagraph"/>
      </w:pPr>
      <w:r>
        <w:t xml:space="preserve">Run the harness on 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configuration (governance inlined, no tiering, no index) N=3 times (§11.4.50). Record</w:t>
      </w:r>
      <w:r>
        <w:t xml:space="preserve"> </w:t>
      </w:r>
      <w:r>
        <w:rPr>
          <w:rStyle w:val="VerbatimChar"/>
        </w:rPr>
        <w:t xml:space="preserve">BEFORE = mean(cost)</w:t>
      </w:r>
      <w:r>
        <w:t xml:space="preserve"> </w:t>
      </w:r>
      <w:r>
        <w:t xml:space="preserve">and assert the 3 runs' token splits are identical (deterministic workload ⇒ identical splits; any divergence is a workload-nondeterminism bug to fix first). Commit</w:t>
      </w:r>
      <w:r>
        <w:t xml:space="preserve"> </w:t>
      </w:r>
      <w:r>
        <w:rPr>
          <w:rStyle w:val="VerbatimChar"/>
        </w:rPr>
        <w:t xml:space="preserve">cycle_report.before.json</w:t>
      </w:r>
      <w:r>
        <w:t xml:space="preserve">.</w:t>
      </w:r>
    </w:p>
    <w:bookmarkEnd w:id="13"/>
    <w:bookmarkStart w:id="14" w:name="X916908a132eaaa19c9f0d967f9cc1e0da8b75d3"/>
    <w:p>
      <w:pPr>
        <w:pStyle w:val="Heading2"/>
      </w:pPr>
      <w:r>
        <w:t xml:space="preserve">5. After capture + pass criterion</w:t>
      </w:r>
    </w:p>
    <w:p>
      <w:pPr>
        <w:pStyle w:val="FirstParagraph"/>
      </w:pPr>
      <w:r>
        <w:t xml:space="preserve">Apply the M1–M7 measures, re-run the harness N=3, record</w:t>
      </w:r>
      <w:r>
        <w:t xml:space="preserve"> </w:t>
      </w:r>
      <w:r>
        <w:rPr>
          <w:rStyle w:val="VerbatimChar"/>
        </w:rPr>
        <w:t xml:space="preserve">AFTER = mean(cost)</w:t>
      </w:r>
      <w:r>
        <w:t xml:space="preserve">, assert the 3 AFTER runs identical (§11.4.50). Then:</w:t>
      </w:r>
    </w:p>
    <w:p>
      <w:pPr>
        <w:pStyle w:val="SourceCode"/>
      </w:pPr>
      <w:r>
        <w:rPr>
          <w:rStyle w:val="VerbatimChar"/>
        </w:rPr>
        <w:t xml:space="preserve">reduction = 1 - (AFTER / BEFORE)</w:t>
      </w:r>
      <w:r>
        <w:br/>
      </w:r>
      <w:r>
        <w:rPr>
          <w:rStyle w:val="VerbatimChar"/>
        </w:rPr>
        <w:t xml:space="preserve">PASS  if  AFTER ≤ 0.40 × BEFORE        (≥ 60% reduction — target met)</w:t>
      </w:r>
      <w:r>
        <w:br/>
      </w:r>
      <w:r>
        <w:rPr>
          <w:rStyle w:val="VerbatimChar"/>
        </w:rPr>
        <w:t xml:space="preserve">WARN  if  0.40×BEFORE &lt; AFTER ≤ 0.55×BEFORE  AND  cache-cold reason cited (RESEARCH §5 floor)</w:t>
      </w:r>
      <w:r>
        <w:br/>
      </w:r>
      <w:r>
        <w:rPr>
          <w:rStyle w:val="VerbatimChar"/>
        </w:rPr>
        <w:t xml:space="preserve">FAIL  otherwise (or if any quality/safety regression — see §6)</w:t>
      </w:r>
    </w:p>
    <w:p>
      <w:pPr>
        <w:pStyle w:val="FirstParagraph"/>
      </w:pPr>
      <w:r>
        <w:t xml:space="preserve">Commit</w:t>
      </w:r>
      <w:r>
        <w:t xml:space="preserve"> </w:t>
      </w:r>
      <w:r>
        <w:rPr>
          <w:rStyle w:val="VerbatimChar"/>
        </w:rPr>
        <w:t xml:space="preserve">cycle_report.after.json</w:t>
      </w:r>
      <w:r>
        <w:t xml:space="preserve"> </w:t>
      </w:r>
      <w:r>
        <w:t xml:space="preserve">+ a one-line</w:t>
      </w:r>
      <w:r>
        <w:t xml:space="preserve"> </w:t>
      </w:r>
      <w:r>
        <w:rPr>
          <w:rStyle w:val="VerbatimChar"/>
        </w:rPr>
        <w:t xml:space="preserve">verdict.txt</w:t>
      </w:r>
      <w:r>
        <w:t xml:space="preserve"> </w:t>
      </w:r>
      <w:r>
        <w:t xml:space="preserve">citing the measured</w:t>
      </w:r>
      <w:r>
        <w:t xml:space="preserve"> </w:t>
      </w:r>
      <w:r>
        <w:rPr>
          <w:rStyle w:val="VerbatimChar"/>
        </w:rPr>
        <w:t xml:space="preserve">reduction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 </w:t>
      </w:r>
      <w:r>
        <w:t xml:space="preserve">warm-proof, and the per-model split that shows the tiering saving.</w:t>
      </w:r>
      <w:r>
        <w:t xml:space="preserve"> </w:t>
      </w:r>
      <w:r>
        <w:rPr>
          <w:b/>
          <w:bCs/>
        </w:rPr>
        <w:t xml:space="preserve">The number in any report/commit/anchor MUST equal the measured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reduction</w:t>
      </w:r>
      <w:r>
        <w:rPr>
          <w:b/>
          <w:bCs/>
        </w:rPr>
        <w:t xml:space="preserve">, never the design estimate</w:t>
      </w:r>
      <w:r>
        <w:t xml:space="preserve"> </w:t>
      </w:r>
      <w:r>
        <w:t xml:space="preserve">(§11.4.6).</w:t>
      </w:r>
    </w:p>
    <w:bookmarkEnd w:id="14"/>
    <w:bookmarkStart w:id="15" w:name="X984ebae702dd47f944045177d033d500e40a604"/>
    <w:p>
      <w:pPr>
        <w:pStyle w:val="Heading2"/>
      </w:pPr>
      <w:r>
        <w:t xml:space="preserve">6. The non-regression (quality/safety) companion — mandatory</w:t>
      </w:r>
    </w:p>
    <w:p>
      <w:pPr>
        <w:pStyle w:val="FirstParagraph"/>
      </w:pPr>
      <w:r>
        <w:t xml:space="preserve">Cost reduction with quality regression is a §11.4 FAIL, not a win. The AFTER run MUST ALSO show</w:t>
      </w:r>
      <w:r>
        <w:t xml:space="preserve"> </w:t>
      </w:r>
      <w:r>
        <w:rPr>
          <w:b/>
          <w:bCs/>
        </w:rPr>
        <w:t xml:space="preserve">zero regression</w:t>
      </w:r>
      <w:r>
        <w:t xml:space="preserve"> </w:t>
      </w:r>
      <w:r>
        <w:t xml:space="preserve">against BEFORE 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Pre-build full sweep</w:t>
      </w:r>
      <w:r>
        <w:t xml:space="preserve"> </w:t>
      </w:r>
      <w:r>
        <w:t xml:space="preserve">(</w:t>
      </w:r>
      <w:r>
        <w:rPr>
          <w:rStyle w:val="VerbatimChar"/>
        </w:rPr>
        <w:t xml:space="preserve">pre_build_verification.sh</w:t>
      </w:r>
      <w:r>
        <w:t xml:space="preserve"> </w:t>
      </w:r>
      <w:r>
        <w:t xml:space="preserve">equivalent) — same PASS/FAIL set (§11.4.40).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Meta-test mutation sweep</w:t>
      </w:r>
      <w:r>
        <w:t xml:space="preserve"> </w:t>
      </w:r>
      <w:r>
        <w:t xml:space="preserve">— every gate still FAILs its paired mutation (§1.1) — proves no gate became a bluff because its rule text moved to an index (M3 safety).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Propagation gates</w:t>
      </w:r>
      <w:r>
        <w:t xml:space="preserve"> </w:t>
      </w:r>
      <w:r>
        <w:t xml:space="preserve">— every</w:t>
      </w:r>
      <w:r>
        <w:t xml:space="preserve"> </w:t>
      </w:r>
      <w:r>
        <w:rPr>
          <w:rStyle w:val="VerbatimChar"/>
        </w:rPr>
        <w:t xml:space="preserve">CM-COVENANT-114-N-PROPAGATION</w:t>
      </w:r>
      <w:r>
        <w:t xml:space="preserve"> </w:t>
      </w:r>
      <w:r>
        <w:t xml:space="preserve">still passes (literal anchors intact after M3).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reasoning-path probe</w:t>
      </w:r>
      <w:r>
        <w:t xml:space="preserve"> </w:t>
      </w:r>
      <w:r>
        <w:t xml:space="preserve">— one fixed reasoning/review turn produces an equivalent-quality verdict on the strong model (proves M2/M5 did not tier-down a decision path).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Cache-warm proof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cache_read_input_tokens &gt; 0</w:t>
      </w:r>
      <w:r>
        <w:t xml:space="preserve"> </w:t>
      </w:r>
      <w:r>
        <w:t xml:space="preserve">on the governance-bearing turns (proves M1 engaged, not silently invalidated).</w:t>
      </w:r>
    </w:p>
    <w:p>
      <w:pPr>
        <w:pStyle w:val="FirstParagraph"/>
      </w:pPr>
      <w:r>
        <w:t xml:space="preserve">If any of these regress, the cost win is rejected (FAIL) regardless of the cost number.</w:t>
      </w:r>
    </w:p>
    <w:bookmarkEnd w:id="15"/>
    <w:bookmarkStart w:id="16" w:name="X84d8cab226aec0c9d7c75f3772324fb513fc350"/>
    <w:p>
      <w:pPr>
        <w:pStyle w:val="Heading2"/>
      </w:pPr>
      <w:r>
        <w:t xml:space="preserve">7. Repeatability / determinism (§11.4.50)</w:t>
      </w:r>
    </w:p>
    <w:p>
      <w:pPr>
        <w:pStyle w:val="FirstParagraph"/>
      </w:pPr>
      <w:r>
        <w:t xml:space="preserve">The whole BEFORE/AFTER measurement is itself wrapped in the project's</w:t>
      </w:r>
      <w:r>
        <w:t xml:space="preserve"> </w:t>
      </w:r>
      <w:r>
        <w:rPr>
          <w:rStyle w:val="VerbatimChar"/>
        </w:rPr>
        <w:t xml:space="preserve">ab_run_n_times</w:t>
      </w:r>
      <w:r>
        <w:t xml:space="preserve">-style N-iteration check: same workload + same model + same config ⇒ identical token splits and identical verdict across N runs. A divergent run is auto-FAIL (the workload must be deterministic before any cost claim is valid). Default N=3; cycle-validation N=10.</w:t>
      </w:r>
    </w:p>
    <w:bookmarkEnd w:id="16"/>
    <w:bookmarkStart w:id="17" w:name="Xcafb45e2c3610b5e7611a3aeaa993fbec37ce73"/>
    <w:p>
      <w:pPr>
        <w:pStyle w:val="Heading2"/>
      </w:pPr>
      <w:r>
        <w:t xml:space="preserve">8. Paired §1.1 mutation (proves the harness is not a bluff)</w:t>
      </w:r>
    </w:p>
    <w:p>
      <w:pPr>
        <w:pStyle w:val="FirstParagraph"/>
      </w:pPr>
      <w:r>
        <w:t xml:space="preserve">The recommended</w:t>
      </w:r>
      <w:r>
        <w:t xml:space="preserve"> </w:t>
      </w:r>
      <w:r>
        <w:rPr>
          <w:rStyle w:val="VerbatimChar"/>
        </w:rPr>
        <w:t xml:space="preserve">CM-TOKEN-EFFICIENCY</w:t>
      </w:r>
      <w:r>
        <w:t xml:space="preserve"> </w:t>
      </w:r>
      <w:r>
        <w:t xml:space="preserve">gate's paired mutation:</w:t>
      </w:r>
      <w:r>
        <w:t xml:space="preserve"> </w:t>
      </w:r>
      <w:r>
        <w:rPr>
          <w:b/>
          <w:bCs/>
        </w:rPr>
        <w:t xml:space="preserve">inject a per-turn timestamp/UUID into the governance prefix ahead of the cache breakpoint</w:t>
      </w:r>
      <w:r>
        <w:t xml:space="preserve"> </w:t>
      </w:r>
      <w:r>
        <w:t xml:space="preserve">(a real silent invalidator). The harness MUST then observe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 </w:t>
      </w:r>
      <w:r>
        <w:t xml:space="preserve">collapse toward 0 and the measured</w:t>
      </w:r>
      <w:r>
        <w:t xml:space="preserve"> </w:t>
      </w:r>
      <w:r>
        <w:rPr>
          <w:rStyle w:val="VerbatimChar"/>
        </w:rPr>
        <w:t xml:space="preserve">reduction</w:t>
      </w:r>
      <w:r>
        <w:t xml:space="preserve"> </w:t>
      </w:r>
      <w:r>
        <w:t xml:space="preserve">fall below the pass bar → the gate FAILs. Restoring the stable prefix → gate PASSes. This proves the harness actually measures caching, not a hardcoded green.</w:t>
      </w:r>
    </w:p>
    <w:bookmarkEnd w:id="17"/>
    <w:bookmarkStart w:id="18" w:name="X5864a4775681719029f52af3fded19b1676479e"/>
    <w:p>
      <w:pPr>
        <w:pStyle w:val="Heading2"/>
      </w:pPr>
      <w:r>
        <w:t xml:space="preserve">9. What "rock-solid proof" means here</w:t>
      </w:r>
    </w:p>
    <w:p>
      <w:pPr>
        <w:pStyle w:val="FirstParagraph"/>
      </w:pPr>
      <w:r>
        <w:t xml:space="preserve">The claim ships with:</w:t>
      </w:r>
      <w:r>
        <w:t xml:space="preserve"> </w:t>
      </w:r>
      <w:r>
        <w:rPr>
          <w:rStyle w:val="VerbatimChar"/>
        </w:rPr>
        <w:t xml:space="preserve">cycle_report.before.json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cycle_report.after.json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verdict.txt</w:t>
      </w:r>
      <w:r>
        <w:t xml:space="preserve"> </w:t>
      </w:r>
      <w:r>
        <w:t xml:space="preserve">(measured reduction + warm-cache evidence + per-model split), the N-iteration determinism log, the non-regression sweep result, and the paired-mutation demonstration. No estimate, no</w:t>
      </w:r>
      <w:r>
        <w:t xml:space="preserve"> </w:t>
      </w:r>
      <w:r>
        <w:rPr>
          <w:rStyle w:val="VerbatimChar"/>
        </w:rPr>
        <w:t xml:space="preserve">tiktoken</w:t>
      </w:r>
      <w:r>
        <w:t xml:space="preserve">, no trusting the client-side</w:t>
      </w:r>
      <w:r>
        <w:t xml:space="preserve"> </w:t>
      </w:r>
      <w:r>
        <w:rPr>
          <w:rStyle w:val="VerbatimChar"/>
        </w:rPr>
        <w:t xml:space="preserve">total_cost_usd</w:t>
      </w:r>
      <w:r>
        <w:t xml:space="preserve"> </w:t>
      </w:r>
      <w:r>
        <w:t xml:space="preserve">— only the raw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token fields, recomputed with the published prices, on a frozen workload, reproduced N times. That is the §11.4.6 / §11.4.123 bar.</w:t>
      </w:r>
    </w:p>
    <w:p>
      <w:r>
        <w:pict>
          <v:rect style="width:0;height:1.5pt" o:hralign="center" o:hrstd="t" o:hr="t"/>
        </w:pict>
      </w:r>
    </w:p>
    <w:bookmarkEnd w:id="18"/>
    <w:bookmarkStart w:id="21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4"/>
        </w:numPr>
      </w:pPr>
      <w:hyperlink r:id="rId19">
        <w:r>
          <w:rPr>
            <w:rStyle w:val="Hyperlink"/>
          </w:rPr>
          <w:t xml:space="preserve">Token counting — Claude API Docs</w:t>
        </w:r>
      </w:hyperlink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Track cost and usage — Claude Agent SDK</w:t>
        </w:r>
      </w:hyperlink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claude-api</w:t>
      </w:r>
      <w:r>
        <w:t xml:space="preserve"> </w:t>
      </w:r>
      <w:r>
        <w:t xml:space="preserve">skill</w:t>
      </w:r>
      <w:r>
        <w:t xml:space="preserve"> </w:t>
      </w:r>
      <w:r>
        <w:rPr>
          <w:rStyle w:val="VerbatimChar"/>
        </w:rPr>
        <w:t xml:space="preserve">shared/prompt-caching.md</w:t>
      </w:r>
      <w:r>
        <w:t xml:space="preserve"> </w:t>
      </w:r>
      <w:r>
        <w:t xml:space="preserve">(usage-field semantics, 0.1×/1.25×/2× multipliers, silent-invalidator detection via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),</w:t>
      </w:r>
      <w:r>
        <w:t xml:space="preserve"> </w:t>
      </w:r>
      <w:r>
        <w:rPr>
          <w:rStyle w:val="VerbatimChar"/>
        </w:rPr>
        <w:t xml:space="preserve">shared/token-counting.md</w:t>
      </w:r>
      <w:r>
        <w:t xml:space="preserve"> </w:t>
      </w:r>
      <w:r>
        <w:t xml:space="preserve">(tiktoken forbidden;</w:t>
      </w:r>
      <w:r>
        <w:t xml:space="preserve"> </w:t>
      </w:r>
      <w:r>
        <w:rPr>
          <w:rStyle w:val="VerbatimChar"/>
        </w:rPr>
        <w:t xml:space="preserve">count_tokens</w:t>
      </w:r>
      <w:r>
        <w:t xml:space="preserve"> </w:t>
      </w:r>
      <w:r>
        <w:t xml:space="preserve">authoritative),</w:t>
      </w:r>
      <w:r>
        <w:t xml:space="preserve"> </w:t>
      </w:r>
      <w:r>
        <w:rPr>
          <w:rStyle w:val="VerbatimChar"/>
        </w:rPr>
        <w:t xml:space="preserve">shared/models.md</w:t>
      </w:r>
      <w:r>
        <w:t xml:space="preserve"> </w:t>
      </w:r>
      <w:r>
        <w:t xml:space="preserve">(per-model input/output prices).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code.claude.com/docs/en/agent-sdk/cost-tracking" TargetMode="External" /><Relationship Type="http://schemas.openxmlformats.org/officeDocument/2006/relationships/hyperlink" Id="rId19" Target="https://platform.claude.com/docs/en/build-with-claude/token-count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ode.claude.com/docs/en/agent-sdk/cost-tracking" TargetMode="External" /><Relationship Type="http://schemas.openxmlformats.org/officeDocument/2006/relationships/hyperlink" Id="rId19" Target="https://platform.claude.com/docs/en/build-with-claude/token-count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2026-08-10T10:59:10Z</dcterms:created>
  <dcterms:modified xsi:type="dcterms:W3CDTF">2026-08-10T10:59:10Z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