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0d8e91fdec1d28ce69601d4fbd811d96ea8b2f"/>
    <w:p>
      <w:pPr>
        <w:pStyle w:val="Heading1"/>
      </w:pPr>
      <w:r>
        <w:t xml:space="preserve">§11.4.141 Anchor Draft — Token-efficiency mandate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(for conductor to land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 mirror into CLAUDE.md / AGENTS.md / QWEN.md)</w:t>
      </w:r>
      <w:r>
        <w:t xml:space="preserve"> </w:t>
      </w:r>
      <w:r>
        <w:rPr>
          <w:b/>
          <w:bCs/>
        </w:rPr>
        <w:t xml:space="preserve">Anchor slot:</w:t>
      </w:r>
      <w:r>
        <w:t xml:space="preserve"> </w:t>
      </w:r>
      <w:r>
        <w:t xml:space="preserve">§11.4.141 (verified free 2026-06-09; §11.4.140 reserved by</w:t>
      </w:r>
      <w:r>
        <w:t xml:space="preserve"> </w:t>
      </w:r>
      <w:r>
        <w:rPr>
          <w:rStyle w:val="VerbatimChar"/>
        </w:rPr>
        <w:t xml:space="preserve">action_prefix_system</w:t>
      </w:r>
      <w:r>
        <w:t xml:space="preserve">).</w:t>
      </w:r>
    </w:p>
    <w:p>
      <w:pPr>
        <w:pStyle w:val="BlockText"/>
      </w:pPr>
      <w:r>
        <w:t xml:space="preserve">Two blocks below: (A) the canonical anchor for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, and (B) the consumer-side mirror block for every consumer CLAUDE.md / AGENTS.md / QWEN.md (identical content discipline per §11.4.35; the consumer block adds the project instantiation pointer).</w:t>
      </w:r>
    </w:p>
    <w:p>
      <w:r>
        <w:pict>
          <v:rect style="width:0;height:1.5pt" o:hralign="center" o:hrstd="t" o:hr="t"/>
        </w:pict>
      </w:r>
    </w:p>
    <w:bookmarkStart w:id="11" w:name="X69343be49858d9c89cfe72a0587ebb162c0aa47"/>
    <w:p>
      <w:pPr>
        <w:pStyle w:val="Heading2"/>
      </w:pPr>
      <w:r>
        <w:t xml:space="preserve">(A) Canonical anchor — for</w:t>
      </w:r>
      <w:r>
        <w:t xml:space="preserve"> </w:t>
      </w:r>
      <w:r>
        <w:rPr>
          <w:rStyle w:val="VerbatimChar"/>
        </w:rPr>
        <w:t xml:space="preserve">constitution/Constitution.md</w:t>
      </w:r>
    </w:p>
    <w:bookmarkStart w:id="10" w:name="X441f08e95ca0ca8cf2f179281feaac2a761dc8d"/>
    <w:p>
      <w:pPr>
        <w:pStyle w:val="Heading3"/>
      </w:pPr>
      <w:r>
        <w:t xml:space="preserve">§11.4.141 — Token-efficiency mandate (research-derived + operator mandate, 2026-06-09)</w:t>
      </w:r>
    </w:p>
    <w:p>
      <w:pPr>
        <w:pStyle w:val="FirstParagraph"/>
      </w:pPr>
      <w:r>
        <w:rPr>
          <w:b/>
          <w:bCs/>
        </w:rPr>
        <w:t xml:space="preserve">Forensic anchor (operator mandate, 2026-06-09):</w:t>
      </w:r>
      <w:r>
        <w:t xml:space="preserve"> </w:t>
      </w:r>
      <w:r>
        <w:t xml:space="preserve">the AI coding agent's token spend (input AND output) is dominated by an enormous always-loaded governance context — the consumer CLAUDE.md/AGENTS.md/QWEN.md plus the constitution submodule (measured ~170,000 tokens of static governance re-sent on EVERY turn: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~90.5K +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~79.6K, a 112-row Applied-Fixes table plus verbatim §11.4.X anchor restatements) — compounded by 350–520K-token subagent transcripts, verbose status, full-file re-reads, and full-file loads where retrieval would do. The same pattern is externally documented as a scaling defect (Claude Code issue #24147 — "Cache read tokens consume 99.93% of usage quota - architectural scaling issue with CLAUDE.md re-reads"). Operator mandate: cut token spend to</w:t>
      </w:r>
      <w:r>
        <w:t xml:space="preserve"> </w:t>
      </w:r>
      <w:r>
        <w:rPr>
          <w:b/>
          <w:bCs/>
        </w:rPr>
        <w:t xml:space="preserve">30–40% of current (a 60–70% reduction)</w:t>
      </w:r>
      <w:r>
        <w:t xml:space="preserve"> </w:t>
      </w:r>
      <w:r>
        <w:t xml:space="preserve">WITHOUT degrading quality, performance, or safety, and WITHOUT breaking any existing mechanism.</w:t>
      </w:r>
    </w:p>
    <w:p>
      <w:pPr>
        <w:pStyle w:val="BodyText"/>
      </w:pPr>
      <w:r>
        <w:t xml:space="preserve">Every project worked on by AI coding agents MUST adopt a token-efficiency regime composed of the following measures, ranked by safety and impact, and MUST PROVE the reduction with a measured anti-bluff harness — never an asserted number (§11.4.6 / §11.4.123). The headline 60–70% is the warm-cache target; the rule requires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best-safe reduction with cited evidence, never the estimate.</w:t>
      </w:r>
    </w:p>
    <w:p>
      <w:pPr>
        <w:pStyle w:val="BodyText"/>
      </w:pPr>
      <w:r>
        <w:rPr>
          <w:b/>
          <w:bCs/>
        </w:rPr>
        <w:t xml:space="preserve">The measures (composable, each preserving every existing rule):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Prompt-cache the static governance prefix (PRIMARY — the single biggest lever).</w:t>
      </w:r>
      <w:r>
        <w:t xml:space="preserve"> </w:t>
      </w:r>
      <w:r>
        <w:t xml:space="preserve">The always-loaded governance MUST form a byte-stable prefix with a cache breakpoint at its end, with nothing volatile rendered ahead of it. Cache reads cost ~0.1× base input price (a 90% discount); writes 1.25× (5-min TTL) / 2× (1-hour). The discount applies to the dominant cost component.</w:t>
      </w:r>
      <w:r>
        <w:t xml:space="preserve"> </w:t>
      </w:r>
      <w:r>
        <w:rPr>
          <w:b/>
          <w:bCs/>
        </w:rPr>
        <w:t xml:space="preserve">Caching is transparent — the model sees byte-identical input cached or not — so it CANNOT remove a rule, weaken a gate, lower quality, or change a verdict; it changes only billing.</w:t>
      </w:r>
      <w:r>
        <w:t xml:space="preserve"> </w:t>
      </w:r>
      <w:r>
        <w:t xml:space="preserve">The only failure mode is a</w:t>
      </w:r>
      <w:r>
        <w:t xml:space="preserve"> </w:t>
      </w:r>
      <w:r>
        <w:rPr>
          <w:i/>
          <w:iCs/>
        </w:rPr>
        <w:t xml:space="preserve">silent invalidator</w:t>
      </w:r>
      <w:r>
        <w:t xml:space="preserve"> </w:t>
      </w:r>
      <w:r>
        <w:t xml:space="preserve">(timestamp/UUID/unsorted-JSON ahead of the breakpoint), which costs money but never corrupts, and is detectable via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. Claude Code caches natively; SDK callers use</w:t>
      </w:r>
      <w:r>
        <w:t xml:space="preserve"> </w:t>
      </w:r>
      <w:r>
        <w:rPr>
          <w:rStyle w:val="VerbatimChar"/>
        </w:rPr>
        <w:t xml:space="preserve">cache_control:{type:"ephemeral"}</w:t>
      </w:r>
      <w:r>
        <w:t xml:space="preserve">; Gemini/Qwen use their context cache via API-key auth.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Subagent model-tiering + output-to-file (SECONDARY — biggest non-cache win).</w:t>
      </w:r>
      <w:r>
        <w:t xml:space="preserve"> </w:t>
      </w:r>
      <w:r>
        <w:t xml:space="preserve">Route MECHANICAL, NON-JUDGMENT subagent work (search, grep, status, doc-export, file-presence, read-only probes) to a cheaper/smaller model (Haiku-class); RESERVE the strong model for ALL reasoning, fix-design (§11.4.102), verdicts, code-review (§11.4.125), and demotion-evidence (§11.4.7). Subagents persist large output to a file and return a pointer instead of a 350–520K-token inline transcript.</w:t>
      </w:r>
      <w:r>
        <w:t xml:space="preserve"> </w:t>
      </w:r>
      <w:r>
        <w:rPr>
          <w:b/>
          <w:bCs/>
        </w:rPr>
        <w:t xml:space="preserve">The strong model owns every decision and every PASS/FAIL — the cheap model never emits a verdict — so §11.4.50 determinism and the anti-bluff covenant are untouched; quality cannot degrade.</w:t>
      </w:r>
      <w:r>
        <w:t xml:space="preserve"> </w:t>
      </w:r>
      <w:r>
        <w:t xml:space="preserve">Bounded by §12.6 (60% memory) and the §11.4.58/§11.4.103 stream caps.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Thin always-loaded INDEX + on-demand detail (progressive disclosure).</w:t>
      </w:r>
      <w:r>
        <w:t xml:space="preserve"> </w:t>
      </w:r>
      <w:r>
        <w:t xml:space="preserve">Restructure the consumer governance so the always-loaded file is a concise index (one line per fix / per anchor) and the full bodies are fetched on demand.</w:t>
      </w:r>
      <w:r>
        <w:t xml:space="preserve"> </w:t>
      </w:r>
      <w:r>
        <w:rPr>
          <w:b/>
          <w:bCs/>
        </w:rPr>
        <w:t xml:space="preserve">Three invariants keep every gate green and every rule reachable: (a) each index line carries the literal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11.4.N</w:t>
      </w:r>
      <w:r>
        <w:rPr>
          <w:b/>
          <w:bCs/>
        </w:rPr>
        <w:t xml:space="preserve"> </w:t>
      </w:r>
      <w:r>
        <w:rPr>
          <w:b/>
          <w:bCs/>
        </w:rPr>
        <w:t xml:space="preserve">anchor token so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CM-COVENANT-114-N-PROPAGATION</w:t>
      </w:r>
      <w:r>
        <w:rPr>
          <w:b/>
          <w:bCs/>
        </w:rPr>
        <w:t xml:space="preserve"> </w:t>
      </w:r>
      <w:r>
        <w:rPr>
          <w:b/>
          <w:bCs/>
        </w:rPr>
        <w:t xml:space="preserve">literal-anchor scans still pass; (b) the canonical full text stays in the tracked, gate-scanned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constitution/Constitution.md</w:t>
      </w:r>
      <w:r>
        <w:rPr>
          <w:b/>
          <w:bCs/>
        </w:rPr>
        <w:t xml:space="preserve"> </w:t>
      </w:r>
      <w:r>
        <w:rPr>
          <w:b/>
          <w:bCs/>
        </w:rPr>
        <w:t xml:space="preserve">— no rule is deleted, only de-duplicated out of the consumer; (c) the full body is reachable in one hop.</w:t>
      </w:r>
      <w:r>
        <w:t xml:space="preserve"> </w:t>
      </w:r>
      <w:r>
        <w:t xml:space="preserve">This realises §11.4.35's consumer-thin / submodule-canonical split at the byte level — a de-duplication, never a deletion.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Retrieval / CodeGraph-first over full-file loading.</w:t>
      </w:r>
      <w:r>
        <w:t xml:space="preserve"> </w:t>
      </w:r>
      <w:r>
        <w:t xml:space="preserve">Structural questions (where is X / what calls Y / what would break) → CodeGraph (§11.4.78/§11.4.79, already mandated + installed) or semantic search; region questions → grep-scoped read; never re-read a harness-tracked file. Read-only, already-trusted (§11.4.78) — no behaviour change.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Output-token reduction.</w:t>
      </w:r>
      <w:r>
        <w:t xml:space="preserve"> </w:t>
      </w:r>
      <w:r>
        <w:t xml:space="preserve">Terse conductor status (no restatement of unchanged governance);</w:t>
      </w:r>
      <w:r>
        <w:t xml:space="preserve"> </w:t>
      </w:r>
      <w:r>
        <w:rPr>
          <w:rStyle w:val="VerbatimChar"/>
        </w:rPr>
        <w:t xml:space="preserve">effort:"low"</w:t>
      </w:r>
      <w:r>
        <w:t xml:space="preserve"> </w:t>
      </w:r>
      <w:r>
        <w:t xml:space="preserve">on the mechanical-subagent allowlist only; structured output where a sink consumes it. Output is ~5× input price, so this is cost-leveraged. Presentation-only — captured-evidence artefacts (§11.4.5/§11.4.69) unchanged.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Tool-call efficiency.</w:t>
      </w:r>
      <w:r>
        <w:t xml:space="preserve"> </w:t>
      </w:r>
      <w:r>
        <w:t xml:space="preserve">Batch independent tool calls in one block; reuse harness-tracked file state; reuse persisted tool outputs.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Compaction / context-editing for long sessions (defensive).</w:t>
      </w:r>
      <w:r>
        <w:t xml:space="preserve"> </w:t>
      </w:r>
      <w:r>
        <w:t xml:space="preserve">Prune stale tool-results / old thinking so a 100+ turn cycle doesn't re-pay for an ever-growing transcript; never touches the governance prefix or on-disk evidence.</w:t>
      </w:r>
    </w:p>
    <w:p>
      <w:pPr>
        <w:pStyle w:val="FirstParagraph"/>
      </w:pPr>
      <w:r>
        <w:rPr>
          <w:b/>
          <w:bCs/>
        </w:rPr>
        <w:t xml:space="preserve">Mandatory measured proof (anti-bluff — §11.4.6/§11.4.50/§11.4.69/§11.4.123):</w:t>
      </w:r>
      <w:r>
        <w:t xml:space="preserve"> </w:t>
      </w:r>
      <w:r>
        <w:t xml:space="preserve">the reduction MUST be proven by a token-accounting harness measuring tokens-per-development-cycle BEFORE vs AFTER on a frozen deterministic workload, split into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 </w:t>
      </w:r>
      <w:r>
        <w:t xml:space="preserve">from the authoritative Anthropic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(NEVER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; NEVER the client-side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estimate — recompute cost from raw token fields with the published prices), reproduced N times to identical verdict (§11.4.50). Pass = AFTER ≤ 40% of BEFORE (target) OR the measured best-safe reduction with a cited cold-cache reason. The AFTER run MUST ALSO show ZERO regression on the pre-build full sweep, the meta-test mutation sweep (every gate still FAILs its paired mutation — proves M3 did not turn any rule into a bluff), every propagation gate (literal anchors intact), a strong-model reasoning-path probe (proves M2/M5 tiered nothing that decides), and a cache-warm proof (</w:t>
      </w:r>
      <w:r>
        <w:rPr>
          <w:rStyle w:val="VerbatimChar"/>
        </w:rPr>
        <w:t xml:space="preserve">cache_read_input_tokens &gt; 0</w:t>
      </w:r>
      <w:r>
        <w:t xml:space="preserve">). Cost reduction with quality/safety regression is a §11.4 FAIL, not a win.</w:t>
      </w:r>
    </w:p>
    <w:p>
      <w:pPr>
        <w:pStyle w:val="BodyText"/>
      </w:pPr>
      <w:r>
        <w:rPr>
          <w:b/>
          <w:bCs/>
        </w:rPr>
        <w:t xml:space="preserve">No measure may break or degrade any existing mechanism — and the rule is structured so none can:</w:t>
      </w:r>
      <w:r>
        <w:t xml:space="preserve"> </w:t>
      </w:r>
      <w:r>
        <w:t xml:space="preserve">caching is transparent (M1); tiering and low-effort are confined to mechanical non-judgment work (M2/M5); indexing preserves the full rules by reference with literal anchors so the propagation gates pass and the canonical text stays gate-scanned (M3); retrieval uses already-trusted read-only infrastructure (M4). The §11.4 anti-bluff covenant family, §11.4.50 deterministic consistency, §11.4.125 code-review, §11.4.40 full-suite retest, and §12.6 memory ceiling are all unconditionally preserved.</w:t>
      </w:r>
    </w:p>
    <w:p>
      <w:pPr>
        <w:pStyle w:val="BodyText"/>
      </w:pPr>
      <w:r>
        <w:t xml:space="preserve">Composes with §11.4.5 / §11.4.6 / §11.4.20 / §11.4.40 / §11.4.50 / §11.4.58 / §11.4.69 / §11.4.70 / §11.4.78 / §11.4.79 / §11.4.80 / §11.4.103 / §11.4.106 / §11.4.123 / §11.4.125 / §11.4.128 / §12.6 / §1.1. Classification: universal (§11.4.17) — the consuming project supplies its model IDs, its mechanical-subagent allowlist, its governance files, its structural-index tool, and its frozen workload per §11.4.35. Propagation gate</w:t>
      </w:r>
      <w:r>
        <w:t xml:space="preserve"> </w:t>
      </w:r>
      <w:r>
        <w:rPr>
          <w:rStyle w:val="VerbatimChar"/>
        </w:rPr>
        <w:t xml:space="preserve">CM-COVENANT-114-141-PROPAGATION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11.4.141</w:t>
      </w:r>
      <w:r>
        <w:t xml:space="preserve"> </w:t>
      </w:r>
      <w:r>
        <w:t xml:space="preserve">across the consumer fleet) + recommended gate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 </w:t>
      </w:r>
      <w:r>
        <w:t xml:space="preserve">(the measured BEFORE/AFTER harness exists + produced a verdict ≥ target-or-cited-floor + the non-regression sweep is green + cache-warm proof present) + paired §1.1 meta-test mutation (inject a per-turn volatile token ahead of the governance cache breakpoint →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collapses → measured reduction falls below the bar → gate FAILs; restore → PASSes — proves the harness measures real caching, not a hardcoded green). Gate-code = separate work item.</w:t>
      </w:r>
    </w:p>
    <w:p>
      <w:pPr>
        <w:pStyle w:val="BodyText"/>
      </w:pP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§11.4.141. Research + design + measurement:</w:t>
      </w:r>
      <w:r>
        <w:t xml:space="preserve"> </w:t>
      </w:r>
      <w:r>
        <w:rPr>
          <w:rStyle w:val="VerbatimChar"/>
        </w:rPr>
        <w:t xml:space="preserve">docs/research/token_efficiency/{RESEARCH,DESIGN,MEASUREMENT,TEST_PLAN}.md</w:t>
      </w:r>
      <w:r>
        <w:t xml:space="preserve">.</w:t>
      </w:r>
    </w:p>
    <w:p>
      <w:pPr>
        <w:pStyle w:val="BodyText"/>
      </w:pPr>
      <w:r>
        <w:t xml:space="preserve">Non-compliance is a release blocker regardless of context. No escape hatch — no</w:t>
      </w:r>
      <w:r>
        <w:t xml:space="preserve"> </w:t>
      </w:r>
      <w:r>
        <w:rPr>
          <w:rStyle w:val="VerbatimChar"/>
        </w:rPr>
        <w:t xml:space="preserve">--skip-token-efficiency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--no-cache-governance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--assert-reduction-without-measuring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--tier-down-reasoning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--inline-all-governance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--tiktoken-estimate-OK</w:t>
      </w:r>
      <w:r>
        <w:t xml:space="preserve"> </w:t>
      </w:r>
      <w:r>
        <w:t xml:space="preserve">flag exists.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f553d464ce6c8b2cb94e164a6e462c40306d599"/>
    <w:p>
      <w:pPr>
        <w:pStyle w:val="Heading2"/>
      </w:pPr>
      <w:r>
        <w:t xml:space="preserve">(B) Consumer-side mirror block — for every consumer CLAUDE.md / AGENTS.md / QWEN.md</w:t>
      </w:r>
    </w:p>
    <w:p>
      <w:pPr>
        <w:pStyle w:val="FirstParagraph"/>
      </w:pPr>
      <w:r>
        <w:rPr>
          <w:b/>
          <w:bCs/>
        </w:rPr>
        <w:t xml:space="preserve">§11.4.141 — Token-efficiency mandate (research-derived + operator mandate, 2026-06-09).</w:t>
      </w:r>
      <w:r>
        <w:t xml:space="preserve"> </w:t>
      </w:r>
      <w:r>
        <w:t xml:space="preserve">Every project worked on by AI coding agents MUST cut token spend (input AND output) toward</w:t>
      </w:r>
      <w:r>
        <w:t xml:space="preserve"> </w:t>
      </w:r>
      <w:r>
        <w:rPr>
          <w:b/>
          <w:bCs/>
        </w:rPr>
        <w:t xml:space="preserve">30–40% of current (a 60–70% reduction)</w:t>
      </w:r>
      <w:r>
        <w:t xml:space="preserve"> </w:t>
      </w:r>
      <w:r>
        <w:t xml:space="preserve">WITHOUT degrading quality/performance/safety or breaking any existing mechanism, via a composable, safety-ranked measure set: (1)</w:t>
      </w:r>
      <w:r>
        <w:t xml:space="preserve"> </w:t>
      </w:r>
      <w:r>
        <w:rPr>
          <w:b/>
          <w:bCs/>
        </w:rPr>
        <w:t xml:space="preserve">prompt-cache the static governance prefix</w:t>
      </w:r>
      <w:r>
        <w:t xml:space="preserve"> </w:t>
      </w:r>
      <w:r>
        <w:t xml:space="preserve">— the always-loaded governance forms a byte-stable cache-breakpointed prefix with no volatile bytes ahead of it; cache reads cost ~0.1× base input (the dominant cost driver — measured ~170K tokens of governance re-sent every turn, externally corroborated by Claude Code issue #24147); caching is transparent so it removes no rule, weakens no gate, changes no verdict — only billing (PRIMARY, biggest + safest lever); (2)</w:t>
      </w:r>
      <w:r>
        <w:t xml:space="preserve"> </w:t>
      </w:r>
      <w:r>
        <w:rPr>
          <w:b/>
          <w:bCs/>
        </w:rPr>
        <w:t xml:space="preserve">subagent model-tiering + output-to-file</w:t>
      </w:r>
      <w:r>
        <w:t xml:space="preserve"> </w:t>
      </w:r>
      <w:r>
        <w:t xml:space="preserve">— mechanical non-judgment work (search/grep/status/doc-export/read-only probes) to a Haiku-class model, the strong model RESERVED for all reasoning/verdicts/fix-design (§11.4.102)/code-review (§11.4.125)/demotion (§11.4.7), large output persisted to a file not an inline 350–520K-token transcript; the cheap model never emits a PASS so §11.4.50 + anti-bluff are untouched; (3)</w:t>
      </w:r>
      <w:r>
        <w:t xml:space="preserve"> </w:t>
      </w:r>
      <w:r>
        <w:rPr>
          <w:b/>
          <w:bCs/>
        </w:rPr>
        <w:t xml:space="preserve">thin always-loaded INDEX + on-demand detail</w:t>
      </w:r>
      <w:r>
        <w:t xml:space="preserve"> </w:t>
      </w:r>
      <w:r>
        <w:t xml:space="preserve">— concise index (one line per fix/anchor, EACH carrying the literal</w:t>
      </w:r>
      <w:r>
        <w:t xml:space="preserve"> </w:t>
      </w:r>
      <w:r>
        <w:rPr>
          <w:rStyle w:val="VerbatimChar"/>
        </w:rPr>
        <w:t xml:space="preserve">11.4.N</w:t>
      </w:r>
      <w:r>
        <w:t xml:space="preserve"> </w:t>
      </w:r>
      <w:r>
        <w:t xml:space="preserve">token so propagation gates pass) with the canonical full text kept gate-scanned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and reachable in one hop — a de-duplication realising §11.4.35, never a deletion; (4)</w:t>
      </w:r>
      <w:r>
        <w:t xml:space="preserve"> </w:t>
      </w:r>
      <w:r>
        <w:rPr>
          <w:b/>
          <w:bCs/>
        </w:rPr>
        <w:t xml:space="preserve">CodeGraph/retrieval-first over full-file loading</w:t>
      </w:r>
      <w:r>
        <w:t xml:space="preserve"> </w:t>
      </w:r>
      <w:r>
        <w:t xml:space="preserve">(§11.4.78/§11.4.79); (5)</w:t>
      </w:r>
      <w:r>
        <w:t xml:space="preserve"> </w:t>
      </w:r>
      <w:r>
        <w:rPr>
          <w:b/>
          <w:bCs/>
        </w:rPr>
        <w:t xml:space="preserve">output-token reduction</w:t>
      </w:r>
      <w:r>
        <w:t xml:space="preserve"> </w:t>
      </w:r>
      <w:r>
        <w:t xml:space="preserve">— terse status +</w:t>
      </w:r>
      <w:r>
        <w:t xml:space="preserve"> </w:t>
      </w:r>
      <w:r>
        <w:rPr>
          <w:rStyle w:val="VerbatimChar"/>
        </w:rPr>
        <w:t xml:space="preserve">effort:"low"</w:t>
      </w:r>
      <w:r>
        <w:t xml:space="preserve"> </w:t>
      </w:r>
      <w:r>
        <w:t xml:space="preserve">on the mechanical allowlist only; (6)</w:t>
      </w:r>
      <w:r>
        <w:t xml:space="preserve"> </w:t>
      </w:r>
      <w:r>
        <w:rPr>
          <w:b/>
          <w:bCs/>
        </w:rPr>
        <w:t xml:space="preserve">tool-call batching + no re-reads</w:t>
      </w:r>
      <w:r>
        <w:t xml:space="preserve">; (7)</w:t>
      </w:r>
      <w:r>
        <w:t xml:space="preserve"> </w:t>
      </w:r>
      <w:r>
        <w:rPr>
          <w:b/>
          <w:bCs/>
        </w:rPr>
        <w:t xml:space="preserve">compaction/context-editing for long sessions</w:t>
      </w:r>
      <w:r>
        <w:t xml:space="preserve">.</w:t>
      </w:r>
      <w:r>
        <w:t xml:space="preserve"> </w:t>
      </w:r>
      <w:r>
        <w:rPr>
          <w:b/>
          <w:bCs/>
        </w:rPr>
        <w:t xml:space="preserve">Mandatory measured proof:</w:t>
      </w:r>
      <w:r>
        <w:t xml:space="preserve"> </w:t>
      </w:r>
      <w:r>
        <w:t xml:space="preserve">a token-accounting harness measures tokens-per-development-cycle BEFORE vs AFTER on a frozen deterministic workload from the authoritative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(input/cache_read/cache_creation/output split; NEVER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, NEVER the client-side cost estimate), reproduced N times (§11.4.50), pass = AFTER ≤ 40% of BEFORE OR the measured best-safe reduction with a cited cold-cache reason; the AFTER run MUST show ZERO regression on the pre-build sweep + meta-test mutation sweep + propagation gates + a strong-model reasoning probe + a cache-warm proof (</w:t>
      </w:r>
      <w:r>
        <w:rPr>
          <w:rStyle w:val="VerbatimChar"/>
        </w:rPr>
        <w:t xml:space="preserve">cache_read_input_tokens &gt; 0</w:t>
      </w:r>
      <w:r>
        <w:t xml:space="preserve">) — cost reduction with quality regression is a §11.4 FAIL. The headline number is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reduction, never the design estimate (§11.4.6/§11.4.123). No measure may break/degrade any existing mechanism, and the rule is structured so none can. Composes §11.4.5/.6/.20/.40/.50/.58/.69/.70/.78/.79/.80/.103/.106/.123/.125/.128/§12.6/§1.1. Classification: universal (§11.4.17). Propagation gate</w:t>
      </w:r>
      <w:r>
        <w:t xml:space="preserve"> </w:t>
      </w:r>
      <w:r>
        <w:rPr>
          <w:rStyle w:val="VerbatimChar"/>
        </w:rPr>
        <w:t xml:space="preserve">CM-COVENANT-114-141-PROPAGATION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11.4.141</w:t>
      </w:r>
      <w:r>
        <w:t xml:space="preserve">) + recommended gate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 </w:t>
      </w:r>
      <w:r>
        <w:t xml:space="preserve">+ paired §1.1 mutation (inject a pre-breakpoint volatile token → cache collapses → measured reduction falls below bar → gate FAILs).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12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§11.4.141.</w:t>
      </w:r>
      <w:r>
        <w:t xml:space="preserve"> </w:t>
      </w:r>
      <w:r>
        <w:rPr>
          <w:b/>
          <w:bCs/>
        </w:rPr>
        <w:t xml:space="preserve">Project instantiation (§11.4.35):</w:t>
      </w:r>
      <w:r>
        <w:t xml:space="preserve"> </w:t>
      </w:r>
      <w:r>
        <w:t xml:space="preserve">[ATMOSphere consumer fills in: confirm the Claude Code governance-prefix cache is warm + free of pre-breakpoint volatiles; tier the §11.4.96-SAFE mechanical subagents (search/grep/status/doc-export) to Haiku with output-to-file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; replace 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112-row Applied-Fixes inline table + verbatim anchor restatements with a literal-anchor index pointing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; keep CodeGraph/lumen-first navigation; run the harness BEFORE/AFTER to prove the measured reduction.] Non-compliance is a release blocker. No escape hatch — no</w:t>
      </w:r>
      <w:r>
        <w:t xml:space="preserve"> </w:t>
      </w:r>
      <w:r>
        <w:rPr>
          <w:rStyle w:val="VerbatimChar"/>
        </w:rPr>
        <w:t xml:space="preserve">--skip-token-efficiency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--no-cache-governance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--assert-reduction-without-measuring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--tier-down-reasoning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--inline-all-governance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--tiktoken-estimate-OK</w:t>
      </w:r>
      <w:r>
        <w:t xml:space="preserve"> </w:t>
      </w:r>
      <w:r>
        <w:t xml:space="preserve">flag.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nstitution.md" TargetMode="External" /><Relationship Type="http://schemas.openxmlformats.org/officeDocument/2006/relationships/hyperlink" Id="rId12" Target="constitution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stitution.md" TargetMode="External" /><Relationship Type="http://schemas.openxmlformats.org/officeDocument/2006/relationships/hyperlink" Id="rId12" Target="constitution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2026-08-10T10:59:12Z</dcterms:created>
  <dcterms:modified xsi:type="dcterms:W3CDTF">2026-08-10T10:59:12Z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