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ard-work-track-bindingsh"/>
    <w:p>
      <w:pPr>
        <w:pStyle w:val="Heading1"/>
      </w:pPr>
      <w:r>
        <w:t xml:space="preserve">guard-work-track-binding.sh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2026-07-10T21:50:00Z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§11.4.191 (work-to-track/branch binding enforcement)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constitution submodule (inherited by reference per §11.4.177 / §11.4.28(B))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companion doc for</w:t>
      </w:r>
      <w:r>
        <w:t xml:space="preserve"> </w:t>
      </w:r>
      <w:r>
        <w:rPr>
          <w:rStyle w:val="VerbatimChar"/>
        </w:rPr>
        <w:t xml:space="preserve">constitution/scripts/hooks/guard-work-track-binding.sh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guard-work-track-binding.sh</w:t>
      </w:r>
      <w:r>
        <w:t xml:space="preserve"> </w:t>
      </w:r>
      <w:r>
        <w:t xml:space="preserve">is a Claude Code</w:t>
      </w:r>
      <w:r>
        <w:t xml:space="preserve"> </w:t>
      </w:r>
      <w:r>
        <w:rPr>
          <w:b/>
          <w:bCs/>
        </w:rPr>
        <w:t xml:space="preserve">PreToolUse guard hook</w:t>
      </w:r>
      <w:r>
        <w:t xml:space="preserve"> </w:t>
      </w:r>
      <w:r>
        <w:t xml:space="preserve">— the</w:t>
      </w:r>
      <w:r>
        <w:t xml:space="preserve"> </w:t>
      </w:r>
      <w:r>
        <w:t xml:space="preserve">PREVENTIVE layer of §11.4.191. It makes a</w:t>
      </w:r>
      <w:r>
        <w:t xml:space="preserve"> </w:t>
      </w:r>
      <w:r>
        <w:rPr>
          <w:b/>
          <w:bCs/>
        </w:rPr>
        <w:t xml:space="preserve">mis-track commit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mis-track</w:t>
      </w:r>
      <w:r>
        <w:rPr>
          <w:b/>
          <w:bCs/>
        </w:rPr>
        <w:t xml:space="preserve"> </w:t>
      </w:r>
      <w:r>
        <w:rPr>
          <w:b/>
          <w:bCs/>
        </w:rPr>
        <w:t xml:space="preserve">dispatch</w:t>
      </w:r>
      <w:r>
        <w:t xml:space="preserve"> </w:t>
      </w:r>
      <w:r>
        <w:t xml:space="preserve">impossible to</w:t>
      </w:r>
      <w:r>
        <w:t xml:space="preserve"> </w:t>
      </w:r>
      <w:r>
        <w:rPr>
          <w:i/>
          <w:iCs/>
        </w:rPr>
        <w:t xml:space="preserve">issue</w:t>
      </w:r>
      <w:r>
        <w:t xml:space="preserve"> </w:t>
      </w:r>
      <w:r>
        <w:t xml:space="preserve">at the tool-call boundary, independent of any</w:t>
      </w:r>
      <w:r>
        <w:t xml:space="preserve"> </w:t>
      </w:r>
      <w:r>
        <w:t xml:space="preserve">agent's recall (§11.4.109 anti-forgetting).</w:t>
      </w:r>
    </w:p>
    <w:p>
      <w:pPr>
        <w:pStyle w:val="BodyText"/>
      </w:pPr>
      <w:r>
        <w:t xml:space="preserve">§11.4.191 is the file-</w:t>
      </w:r>
      <w:r>
        <w:rPr>
          <w:b/>
          <w:bCs/>
        </w:rPr>
        <w:t xml:space="preserve">placement</w:t>
      </w:r>
      <w:r>
        <w:t xml:space="preserve"> </w:t>
      </w:r>
      <w:r>
        <w:t xml:space="preserve">generalisation of §11.4.181 (branch-</w:t>
      </w:r>
      <w:r>
        <w:rPr>
          <w:b/>
          <w:bCs/>
        </w:rPr>
        <w:t xml:space="preserve">name</w:t>
      </w:r>
      <w:r>
        <w:t xml:space="preserve"> </w:t>
      </w:r>
      <w:r>
        <w:t xml:space="preserve">consistency). The sibling</w:t>
      </w:r>
      <w:r>
        <w:t xml:space="preserve"> </w:t>
      </w:r>
      <w:r>
        <w:rPr>
          <w:rStyle w:val="VerbatimChar"/>
        </w:rPr>
        <w:t xml:space="preserve">guard-branch-consistency.sh</w:t>
      </w:r>
      <w:r>
        <w:t xml:space="preserve"> </w:t>
      </w:r>
      <w:r>
        <w:t xml:space="preserve">fires only on a</w:t>
      </w:r>
      <w:r>
        <w:t xml:space="preserve"> </w:t>
      </w:r>
      <w:r>
        <w:t xml:space="preserve">feature-branch</w:t>
      </w:r>
      <w:r>
        <w:t xml:space="preserve"> </w:t>
      </w:r>
      <w:r>
        <w:rPr>
          <w:i/>
          <w:iCs/>
        </w:rPr>
        <w:t xml:space="preserve">create</w:t>
      </w:r>
      <w:r>
        <w:t xml:space="preserve">, so committing a logic-group's files onto an</w:t>
      </w:r>
      <w:r>
        <w:t xml:space="preserve"> </w:t>
      </w:r>
      <w:r>
        <w:t xml:space="preserve">already-existing branch (the forensic scrcpy 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mis-landing, 2026-07-04)</w:t>
      </w:r>
      <w:r>
        <w:t xml:space="preserve"> </w:t>
      </w:r>
      <w:r>
        <w:t xml:space="preserve">slipped past it. This hook closes exactly that gap.</w:t>
      </w:r>
    </w:p>
    <w:p>
      <w:pPr>
        <w:pStyle w:val="BodyText"/>
      </w:pPr>
      <w:r>
        <w:t xml:space="preserve">The hook is thin: it detects the tool class, resolves the current/declared</w:t>
      </w:r>
      <w:r>
        <w:t xml:space="preserve"> </w:t>
      </w:r>
      <w:r>
        <w:rPr>
          <w:rStyle w:val="VerbatimChar"/>
        </w:rPr>
        <w:t xml:space="preserve">(branch, track)</w:t>
      </w:r>
      <w:r>
        <w:t xml:space="preserve">, computes the impacted work (changed files or a ticket) and</w:t>
      </w:r>
      <w:r>
        <w:t xml:space="preserve"> </w:t>
      </w:r>
      <w:r>
        <w:t xml:space="preserve">delegates the actual binding decision to the shared resolver</w:t>
      </w:r>
      <w:r>
        <w:t xml:space="preserve"> </w:t>
      </w:r>
      <w:hyperlink r:id="rId9">
        <w:r>
          <w:rPr>
            <w:rStyle w:val="VerbatimChar"/>
          </w:rPr>
          <w:t xml:space="preserve">multitrack_work_binding.sh</w:t>
        </w:r>
      </w:hyperlink>
      <w:r>
        <w:t xml:space="preserve"> </w:t>
      </w:r>
      <w:r>
        <w:t xml:space="preserve">(single code path,</w:t>
      </w:r>
      <w:r>
        <w:t xml:space="preserve"> </w:t>
      </w:r>
      <w:r>
        <w:t xml:space="preserve">two entry points — this hook + the commit wrapper / pre-build gate).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sqlite3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(via the resolver; absent ⇒ fail-closed BLOCK, §11.4.6).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(only for the commit-path branch/file-set derivation).</w:t>
      </w:r>
    </w:p>
    <w:p>
      <w:pPr>
        <w:pStyle w:val="Compact"/>
        <w:numPr>
          <w:ilvl w:val="0"/>
          <w:numId w:val="1001"/>
        </w:numPr>
      </w:pPr>
      <w:r>
        <w:t xml:space="preserve">The §11.4.93/§11.4.95 workable-items DB (schema</w:t>
      </w:r>
      <w:r>
        <w:t xml:space="preserve"> </w:t>
      </w:r>
      <w:r>
        <w:rPr>
          <w:b/>
          <w:bCs/>
        </w:rPr>
        <w:t xml:space="preserve">v4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logic_groups.canonical_track</w:t>
      </w:r>
    </w:p>
    <w:p>
      <w:pPr>
        <w:pStyle w:val="Compact"/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group_paths</w:t>
      </w:r>
      <w:r>
        <w:t xml:space="preserve"> </w:t>
      </w:r>
      <w:r>
        <w:t xml:space="preserve">file-scope manifest). Resolved by</w:t>
      </w:r>
      <w:r>
        <w:t xml:space="preserve"> </w:t>
      </w:r>
      <w:r>
        <w:rPr>
          <w:rStyle w:val="VerbatimChar"/>
        </w:rPr>
        <w:t xml:space="preserve">resolve_workable_items_db</w:t>
      </w:r>
      <w:r>
        <w:t xml:space="preserve"> </w:t>
      </w:r>
      <w:r>
        <w:t xml:space="preserve">(see "Submodule-context DB resolution" below) —</w:t>
      </w:r>
      <w:r>
        <w:t xml:space="preserve"> </w:t>
      </w:r>
      <w:r>
        <w:rPr>
          <w:rStyle w:val="VerbatimChar"/>
        </w:rPr>
        <w:t xml:space="preserve">$WI_DB</w:t>
      </w:r>
      <w:r>
        <w:t xml:space="preserve"> </w:t>
      </w:r>
      <w:r>
        <w:t xml:space="preserve">wins outright; otherwise</w:t>
      </w:r>
      <w:r>
        <w:t xml:space="preserve"> </w:t>
      </w:r>
      <w:r>
        <w:t xml:space="preserve">the guard walks UP from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through every nested</w:t>
      </w:r>
      <w:r>
        <w:t xml:space="preserve"> </w:t>
      </w:r>
      <w:r>
        <w:t xml:space="preserve">submodule → superproject link (</w:t>
      </w:r>
      <w:r>
        <w:rPr>
          <w:rStyle w:val="VerbatimChar"/>
        </w:rPr>
        <w:t xml:space="preserve">git rev-parse --show-superproject-working-tree</w:t>
      </w:r>
      <w:r>
        <w:t xml:space="preserve">)</w:t>
      </w:r>
      <w:r>
        <w:t xml:space="preserve"> </w:t>
      </w:r>
      <w:r>
        <w:t xml:space="preserve">so a commit issued from INSIDE a submodule (per §11.4.26) resolves against the</w:t>
      </w:r>
      <w:r>
        <w:t xml:space="preserve"> </w:t>
      </w:r>
      <w:r>
        <w:t xml:space="preserve">PARENT superproject's registry, never a submodule-relative path where the DB</w:t>
      </w:r>
      <w:r>
        <w:t xml:space="preserve"> </w:t>
      </w:r>
      <w:r>
        <w:t xml:space="preserve">does not live.</w:t>
      </w:r>
    </w:p>
    <w:p>
      <w:pPr>
        <w:pStyle w:val="Compact"/>
        <w:numPr>
          <w:ilvl w:val="0"/>
          <w:numId w:val="1001"/>
        </w:numPr>
      </w:pPr>
      <w:r>
        <w:t xml:space="preserve">Wired as 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under BOTH the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Agent|Task|TaskCreate</w:t>
      </w:r>
      <w:r>
        <w:t xml:space="preserve"> </w:t>
      </w:r>
      <w:r>
        <w:t xml:space="preserve">matchers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(a later, consumer-side task — this hook</w:t>
      </w:r>
      <w:r>
        <w:t xml:space="preserve"> </w:t>
      </w:r>
      <w:r>
        <w:t xml:space="preserve">ships the mechanism, not the wiring).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It is not run by hand — Claude Code invokes it, passing the tool invocation as</w:t>
      </w:r>
      <w:r>
        <w:t xml:space="preserve"> </w:t>
      </w:r>
      <w:r>
        <w:t xml:space="preserve">JSON on stdin.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allow, exit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BLOCK (stderr text is fed back to</w:t>
      </w:r>
      <w:r>
        <w:t xml:space="preserve"> </w:t>
      </w:r>
      <w:r>
        <w:t xml:space="preserve">Claude as the refusal reason).</w:t>
      </w:r>
    </w:p>
    <w:p>
      <w:pPr>
        <w:pStyle w:val="BodyText"/>
      </w:pPr>
      <w:r>
        <w:t xml:space="preserve">Manual smoke: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'{"tool_name":"Agent","tool_input":{"description":"(T1/main - claude4) ATM-900 scrcpy"}}'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WI_DB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docs/workable_items.db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constitution/scripts/hooks/guard-work-track-binding.sh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</w:p>
    <w:bookmarkEnd w:id="12"/>
    <w:bookmarkStart w:id="13" w:name="X864f268fad19d727fbea0c64133f92a0fc3ecca"/>
    <w:p>
      <w:pPr>
        <w:pStyle w:val="Heading2"/>
      </w:pPr>
      <w:r>
        <w:t xml:space="preserve">Scope (two handled classes; every other tool ⇒ exit 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Bash</w:t>
      </w:r>
      <w:r>
        <w:t xml:space="preserve"> </w:t>
      </w:r>
      <w:r>
        <w:t xml:space="preserve">— a git-commit-class command (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scripts/commit_all.sh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commit_docs.sh</w:t>
      </w:r>
      <w:r>
        <w:t xml:space="preserve">). The to-be-committed file set is read from git</w:t>
      </w:r>
      <w:r>
        <w:t xml:space="preserve"> </w:t>
      </w:r>
      <w:r>
        <w:rPr>
          <w:b/>
          <w:bCs/>
        </w:rPr>
        <w:t xml:space="preserve">plumbing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diff --cached --name-only</w:t>
      </w:r>
      <w:r>
        <w:t xml:space="preserve">; for a</w:t>
      </w:r>
      <w:r>
        <w:t xml:space="preserve"> </w:t>
      </w:r>
      <w:r>
        <w:rPr>
          <w:rStyle w:val="VerbatimChar"/>
        </w:rPr>
        <w:t xml:space="preserve">commit_all</w:t>
      </w:r>
      <w:r>
        <w:t xml:space="preserve">-class</w:t>
      </w:r>
      <w:r>
        <w:t xml:space="preserve"> </w:t>
      </w:r>
      <w:r>
        <w:rPr>
          <w:i/>
          <w:iCs/>
        </w:rPr>
        <w:t xml:space="preserve">broad stage</w:t>
      </w:r>
      <w:r>
        <w:t xml:space="preserve"> </w:t>
      </w:r>
      <w:r>
        <w:t xml:space="preserve">the</w:t>
      </w:r>
      <w:r>
        <w:t xml:space="preserve"> </w:t>
      </w:r>
      <w:r>
        <w:t xml:space="preserve">whole dirty worktree via</w:t>
      </w:r>
      <w:r>
        <w:t xml:space="preserve"> </w:t>
      </w:r>
      <w:r>
        <w:rPr>
          <w:rStyle w:val="VerbatimChar"/>
        </w:rPr>
        <w:t xml:space="preserve">git status --porcelain</w:t>
      </w:r>
      <w:r>
        <w:t xml:space="preserve">), then checked against the</w:t>
      </w:r>
      <w:r>
        <w:t xml:space="preserve"> </w:t>
      </w:r>
      <w:r>
        <w:t xml:space="preserve">current branch (</w:t>
      </w:r>
      <w:r>
        <w:rPr>
          <w:rStyle w:val="VerbatimChar"/>
        </w:rPr>
        <w:t xml:space="preserve">git rev-parse --abbrev-ref HEAD</w:t>
      </w:r>
      <w:r>
        <w:t xml:space="preserve">) + track (cwd</w:t>
      </w:r>
      <w:r>
        <w:t xml:space="preserve"> </w:t>
      </w:r>
      <w:r>
        <w:rPr>
          <w:rStyle w:val="VerbatimChar"/>
        </w:rPr>
        <w:t xml:space="preserve">/mnt/track&lt;N&gt;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Agent | Task | TaskCreate</w:t>
      </w:r>
      <w:r>
        <w:t xml:space="preserve"> </w:t>
      </w:r>
      <w:r>
        <w:t xml:space="preserve">— an agent dispatch. The §11.4.182</w:t>
      </w:r>
      <w:r>
        <w:t xml:space="preserve"> </w:t>
      </w:r>
      <w:r>
        <w:rPr>
          <w:rStyle w:val="VerbatimChar"/>
        </w:rPr>
        <w:t xml:space="preserve">(T&lt;N&gt;/&lt;branch&gt;[ - &lt;alias&gt;])</w:t>
      </w:r>
      <w:r>
        <w:t xml:space="preserve"> </w:t>
      </w:r>
      <w:r>
        <w:t xml:space="preserve">label + the</w:t>
      </w:r>
      <w:r>
        <w:t xml:space="preserve"> </w:t>
      </w:r>
      <w:r>
        <w:rPr>
          <w:rStyle w:val="VerbatimChar"/>
        </w:rPr>
        <w:t xml:space="preserve">\b(ATM|SPK)-[0-9]+\b</w:t>
      </w:r>
      <w:r>
        <w:t xml:space="preserve"> </w:t>
      </w:r>
      <w:r>
        <w:t xml:space="preserve">ticket(s)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(fallback</w:t>
      </w:r>
      <w:r>
        <w:t xml:space="preserve"> </w:t>
      </w:r>
      <w:r>
        <w:rPr>
          <w:rStyle w:val="VerbatimChar"/>
        </w:rPr>
        <w:t xml:space="preserve">subagent</w:t>
      </w:r>
      <w:r>
        <w:t xml:space="preserve">) are checked against the ticket's</w:t>
      </w:r>
      <w:r>
        <w:t xml:space="preserve"> </w:t>
      </w:r>
      <w:r>
        <w:t xml:space="preserve">group's canonical</w:t>
      </w:r>
      <w:r>
        <w:t xml:space="preserve"> </w:t>
      </w:r>
      <w:r>
        <w:rPr>
          <w:rStyle w:val="VerbatimChar"/>
        </w:rPr>
        <w:t xml:space="preserve">(branch, track)</w:t>
      </w:r>
      <w:r>
        <w:t xml:space="preserve">.</w:t>
      </w:r>
    </w:p>
    <w:bookmarkEnd w:id="13"/>
    <w:bookmarkStart w:id="14" w:name="behaviour-matrix"/>
    <w:p>
      <w:pPr>
        <w:pStyle w:val="Heading2"/>
      </w:pPr>
      <w:r>
        <w:t xml:space="preserve">Behaviour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group_paths</w:t>
            </w:r>
            <w:r>
              <w:t xml:space="preserve">-owned file staged on a branch ≠ its group's</w:t>
            </w:r>
            <w:r>
              <w:t xml:space="preserve"> </w:t>
            </w:r>
            <w:r>
              <w:rPr>
                <w:rStyle w:val="VerbatimChar"/>
              </w:rP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(exit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ticket dispatched onto a label</w:t>
            </w:r>
            <w:r>
              <w:t xml:space="preserve"> </w:t>
            </w:r>
            <w:r>
              <w:rPr>
                <w:rStyle w:val="VerbatimChar"/>
              </w:rPr>
              <w:t xml:space="preserve">(branch, track)</w:t>
            </w:r>
            <w:r>
              <w:t xml:space="preserve"> </w:t>
            </w:r>
            <w:r>
              <w:t xml:space="preserve">≠ its group's canonical pair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(exit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Correctly-placed commit / dispatch</w:t>
            </w:r>
          </w:p>
        </w:tc>
        <w:tc>
          <w:tcPr/>
          <w:p>
            <w:pPr>
              <w:pStyle w:val="Compact"/>
            </w:pPr>
            <w:r>
              <w:t xml:space="preserve">allow 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Unclassified file (no glob owner) / unticketed dispatch</w:t>
            </w:r>
          </w:p>
        </w:tc>
        <w:tc>
          <w:tcPr/>
          <w:p>
            <w:pPr>
              <w:pStyle w:val="Compact"/>
            </w:pPr>
            <w:r>
              <w:t xml:space="preserve">allow (exit 0) — main-eligible, honest partial coverage (§11.4.3)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unreadable (no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/ no DB)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BLOCK (exit 2)</w:t>
            </w:r>
            <w:r>
              <w:t xml:space="preserve"> </w:t>
            </w:r>
            <w:r>
              <w:t xml:space="preserve">(§11.4.6)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file scope (two groups claim one path at equal glob length)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BLOCK (exit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</w:t>
            </w:r>
            <w:r>
              <w:t xml:space="preserve"> </w:t>
            </w:r>
            <w:r>
              <w:rPr>
                <w:rStyle w:val="VerbatimChar"/>
              </w:rPr>
              <w:t xml:space="preserve">$(…)</w:t>
            </w:r>
            <w:r>
              <w:t xml:space="preserve">/backtick commit pathspec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BLOCK (exit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guardrails:allow &lt;reason&gt;</w:t>
            </w:r>
            <w:r>
              <w:t xml:space="preserve"> </w:t>
            </w:r>
            <w:r>
              <w:t xml:space="preserve">on a commit command</w:t>
            </w:r>
          </w:p>
        </w:tc>
        <w:tc>
          <w:tcPr/>
          <w:p>
            <w:pPr>
              <w:pStyle w:val="Compact"/>
            </w:pPr>
            <w:r>
              <w:t xml:space="preserve">audited WARN → allow 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with an absent/malformed label</w:t>
            </w:r>
          </w:p>
        </w:tc>
        <w:tc>
          <w:tcPr/>
          <w:p>
            <w:pPr>
              <w:pStyle w:val="Compact"/>
            </w:pPr>
            <w:r>
              <w:t xml:space="preserve">allow (exit 0) — the sibling</w:t>
            </w:r>
            <w:r>
              <w:t xml:space="preserve"> </w:t>
            </w:r>
            <w:r>
              <w:rPr>
                <w:rStyle w:val="VerbatimChar"/>
              </w:rPr>
              <w:t xml:space="preserve">guard-track-branch-label.sh</w:t>
            </w:r>
            <w:r>
              <w:t xml:space="preserve"> </w:t>
            </w:r>
            <w:r>
              <w:t xml:space="preserve">BLOCKs that (single responsibility)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non-Bash / non-Agent tool</w:t>
            </w:r>
          </w:p>
        </w:tc>
        <w:tc>
          <w:tcPr/>
          <w:p>
            <w:pPr>
              <w:pStyle w:val="Compact"/>
            </w:pPr>
            <w:r>
              <w:t xml:space="preserve">allow (exit 0)</w:t>
            </w:r>
          </w:p>
        </w:tc>
      </w:tr>
    </w:tbl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Unborn branch:</w:t>
      </w:r>
      <w:r>
        <w:t xml:space="preserve"> </w:t>
      </w:r>
      <w:r>
        <w:t xml:space="preserve">on a repo with no commits</w:t>
      </w:r>
      <w:r>
        <w:t xml:space="preserve"> </w:t>
      </w:r>
      <w:r>
        <w:rPr>
          <w:rStyle w:val="VerbatimChar"/>
        </w:rPr>
        <w:t xml:space="preserve">git rev-parse --abbrev-ref HEAD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; the hook then compares against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(a real repo always has</w:t>
      </w:r>
      <w:r>
        <w:t xml:space="preserve"> </w:t>
      </w:r>
      <w:r>
        <w:t xml:space="preserve">commits, so this is a fixture-only concern).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Alias suffix:</w:t>
      </w:r>
      <w:r>
        <w:t xml:space="preserve"> </w:t>
      </w:r>
      <w:r>
        <w:t xml:space="preserve">a label field</w:t>
      </w:r>
      <w:r>
        <w:t xml:space="preserve"> </w:t>
      </w:r>
      <w:r>
        <w:rPr>
          <w:rStyle w:val="VerbatimChar"/>
        </w:rPr>
        <w:t xml:space="preserve">feature/mistiq-vader - deepseek</w:t>
      </w:r>
      <w:r>
        <w:t xml:space="preserve"> </w:t>
      </w:r>
      <w:r>
        <w:t xml:space="preserve">strips to</w:t>
      </w:r>
      <w:r>
        <w:t xml:space="preserve"> </w:t>
      </w:r>
      <w:r>
        <w:t xml:space="preserve">branch</w:t>
      </w:r>
      <w:r>
        <w:t xml:space="preserve"> </w:t>
      </w:r>
      <w:r>
        <w:rPr>
          <w:rStyle w:val="VerbatimChar"/>
        </w:rPr>
        <w:t xml:space="preserve">feature/mistiq-vader</w:t>
      </w:r>
      <w:r>
        <w:t xml:space="preserve"> </w:t>
      </w:r>
      <w:r>
        <w:t xml:space="preserve">(a git ref never contains a space, so any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is the §11.4.182 alias separator).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Track unknown (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/ off-</w:t>
      </w:r>
      <w:r>
        <w:rPr>
          <w:rStyle w:val="VerbatimChar"/>
          <w:b/>
          <w:bCs/>
        </w:rPr>
        <w:t xml:space="preserve">/mnt/trackN</w:t>
      </w:r>
      <w:r>
        <w:rPr>
          <w:b/>
          <w:bCs/>
        </w:rPr>
        <w:t xml:space="preserve">):</w:t>
      </w:r>
      <w:r>
        <w:t xml:space="preserve"> </w:t>
      </w:r>
      <w:r>
        <w:t xml:space="preserve">the track assertion is SKIPPED</w:t>
      </w:r>
      <w:r>
        <w:t xml:space="preserve"> </w:t>
      </w:r>
      <w:r>
        <w:t xml:space="preserve">(honest — an unknown track is not a proven mismatch, §11.4.6); the branch</w:t>
      </w:r>
      <w:r>
        <w:t xml:space="preserve"> </w:t>
      </w:r>
      <w:r>
        <w:t xml:space="preserve">assertion still runs.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Pre-v4 DB (no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group_paths</w:t>
      </w:r>
      <w:r>
        <w:rPr>
          <w:b/>
          <w:bCs/>
        </w:rPr>
        <w:t xml:space="preserve">):</w:t>
      </w:r>
      <w:r>
        <w:t xml:space="preserve"> </w:t>
      </w:r>
      <w:r>
        <w:t xml:space="preserve">the file-path enforcement is inert (no glob</w:t>
      </w:r>
      <w:r>
        <w:t xml:space="preserve"> </w:t>
      </w:r>
      <w:r>
        <w:t xml:space="preserve">owners) — branch-enforced-only until the manifest lands; ticket resolution</w:t>
      </w:r>
      <w:r>
        <w:t xml:space="preserve"> </w:t>
      </w:r>
      <w:r>
        <w:t xml:space="preserve">still works.</w:t>
      </w:r>
    </w:p>
    <w:bookmarkEnd w:id="15"/>
    <w:bookmarkStart w:id="16" w:name="Xdf633eae6abf52dfd1715971786d6f481c363a1"/>
    <w:p>
      <w:pPr>
        <w:pStyle w:val="Heading2"/>
      </w:pPr>
      <w:r>
        <w:t xml:space="preserve">Submodule-context DB resolution (§11.4.26 / §11.4.191)</w:t>
      </w:r>
    </w:p>
    <w:p>
      <w:pPr>
        <w:pStyle w:val="FirstParagraph"/>
      </w:pPr>
      <w:r>
        <w:t xml:space="preserve">When this guard's own cwd is INSIDE a submodule (e.g. this constitution submodule,</w:t>
      </w:r>
      <w:r>
        <w:t xml:space="preserve"> </w:t>
      </w:r>
      <w:r>
        <w:t xml:space="preserve">committed per §11.4.26), the shared resolver's own auto-discovery binds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to the SUBMODULE's innermost root — where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does not exist — so it fail-closed BLOCKed every</w:t>
      </w:r>
      <w:r>
        <w:t xml:space="preserve"> </w:t>
      </w:r>
      <w:r>
        <w:t xml:space="preserve">legitimate submodule commit unconditionally, regardless of file-scope</w:t>
      </w:r>
      <w:r>
        <w:t xml:space="preserve"> </w:t>
      </w:r>
      <w:r>
        <w:t xml:space="preserve">classification.</w:t>
      </w:r>
      <w:r>
        <w:t xml:space="preserve"> </w:t>
      </w:r>
      <w:r>
        <w:rPr>
          <w:rStyle w:val="VerbatimChar"/>
        </w:rPr>
        <w:t xml:space="preserve">resolve_workable_items_db</w:t>
      </w:r>
      <w:r>
        <w:t xml:space="preserve"> </w:t>
      </w:r>
      <w:r>
        <w:t xml:space="preserve">closes this:</w:t>
      </w:r>
      <w:r>
        <w:t xml:space="preserve"> </w:t>
      </w:r>
      <w:r>
        <w:rPr>
          <w:rStyle w:val="VerbatimChar"/>
        </w:rPr>
        <w:t xml:space="preserve">$WI_DB</w:t>
      </w:r>
      <w:r>
        <w:t xml:space="preserve"> </w:t>
      </w:r>
      <w:r>
        <w:t xml:space="preserve">(if set) wins</w:t>
      </w:r>
      <w:r>
        <w:t xml:space="preserve"> </w:t>
      </w:r>
      <w:r>
        <w:t xml:space="preserve">verbatim (unchanged precedence + unchanged fail-closed-on-absent behaviour);</w:t>
      </w:r>
      <w:r>
        <w:t xml:space="preserve"> </w:t>
      </w:r>
      <w:r>
        <w:t xml:space="preserve">otherwise it walks UP from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through every</w:t>
      </w:r>
      <w:r>
        <w:t xml:space="preserve"> </w:t>
      </w:r>
      <w:r>
        <w:rPr>
          <w:rStyle w:val="VerbatimChar"/>
        </w:rPr>
        <w:t xml:space="preserve">git rev-parse --show-superproject-working-tree</w:t>
      </w:r>
      <w:r>
        <w:t xml:space="preserve"> </w:t>
      </w:r>
      <w:r>
        <w:t xml:space="preserve">hop (depth-bounded to 10),</w:t>
      </w:r>
      <w:r>
        <w:t xml:space="preserve"> </w:t>
      </w:r>
      <w:r>
        <w:t xml:space="preserve">probing each root OUTERMOST-first for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docs/.workable_items.db</w:t>
      </w:r>
      <w:r>
        <w:t xml:space="preserve">. The guard passes the found path as an explicit</w:t>
      </w:r>
      <w:r>
        <w:t xml:space="preserve"> </w:t>
      </w:r>
      <w:r>
        <w:rPr>
          <w:rStyle w:val="VerbatimChar"/>
        </w:rPr>
        <w:t xml:space="preserve">--db &lt;path&gt;</w:t>
      </w:r>
      <w:r>
        <w:t xml:space="preserve"> </w:t>
      </w:r>
      <w:r>
        <w:t xml:space="preserve">to the resolver at BOTH call sites; when NOTHING is found anywhere,</w:t>
      </w:r>
      <w:r>
        <w:t xml:space="preserve"> </w:t>
      </w:r>
      <w:r>
        <w:rPr>
          <w:rStyle w:val="VerbatimChar"/>
        </w:rPr>
        <w:t xml:space="preserve">--db</w:t>
      </w:r>
      <w:r>
        <w:t xml:space="preserve"> </w:t>
      </w:r>
      <w:r>
        <w:t xml:space="preserve">is omitted and the resolver's own unchanged auto-discovery + fail-closed</w:t>
      </w:r>
      <w:r>
        <w:t xml:space="preserve"> </w:t>
      </w:r>
      <w:r>
        <w:t xml:space="preserve">BLOCK applies exactly as before (§11.4.6 — no weakening of the fail-closed</w:t>
      </w:r>
      <w:r>
        <w:t xml:space="preserve"> </w:t>
      </w:r>
      <w:r>
        <w:t xml:space="preserve">guarantee for the genuinely-no-DB case). This function itself NEVER fails or</w:t>
      </w:r>
      <w:r>
        <w:t xml:space="preserve"> </w:t>
      </w:r>
      <w:r>
        <w:t xml:space="preserve">blocks — it only WIDENS where a real registry is discovered; the resolver alone</w:t>
      </w:r>
      <w:r>
        <w:t xml:space="preserve"> </w:t>
      </w:r>
      <w:r>
        <w:t xml:space="preserve">owns the fail-closed BLOCK decision.</w:t>
      </w:r>
    </w:p>
    <w:bookmarkEnd w:id="16"/>
    <w:bookmarkStart w:id="17" w:name="honest-boundary-114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Best-effort prevention, NOT a security boundary. The file set is derived from</w:t>
      </w:r>
      <w:r>
        <w:t xml:space="preserve"> </w:t>
      </w:r>
      <w:r>
        <w:t xml:space="preserve">git</w:t>
      </w:r>
      <w:r>
        <w:t xml:space="preserve"> </w:t>
      </w:r>
      <w:r>
        <w:rPr>
          <w:b/>
          <w:bCs/>
        </w:rPr>
        <w:t xml:space="preserve">plumbing</w:t>
      </w:r>
      <w:r>
        <w:t xml:space="preserve">, never argv-parsed, so it is never</w:t>
      </w:r>
      <w:r>
        <w:t xml:space="preserve"> </w:t>
      </w:r>
      <w:r>
        <w:rPr>
          <w:i/>
          <w:iCs/>
        </w:rPr>
        <w:t xml:space="preserve">under</w:t>
      </w:r>
      <w:r>
        <w:t xml:space="preserve">-blocking (a</w:t>
      </w:r>
      <w:r>
        <w:t xml:space="preserve"> </w:t>
      </w:r>
      <w:r>
        <w:t xml:space="preserve">pathspec that commits a subset can only make the hook</w:t>
      </w:r>
      <w:r>
        <w:t xml:space="preserve"> </w:t>
      </w:r>
      <w:r>
        <w:rPr>
          <w:i/>
          <w:iCs/>
        </w:rPr>
        <w:t xml:space="preserve">over</w:t>
      </w:r>
      <w:r>
        <w:t xml:space="preserve">-strict, which the</w:t>
      </w:r>
      <w:r>
        <w:t xml:space="preserve"> </w:t>
      </w:r>
      <w:r>
        <w:t xml:space="preserve">escape hatch clears). A raw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invoked from inside a script the hook never</w:t>
      </w:r>
      <w:r>
        <w:t xml:space="preserve"> </w:t>
      </w:r>
      <w:r>
        <w:t xml:space="preserve">parses is caught by the DETECTIVE pre-build gate</w:t>
      </w:r>
      <w:r>
        <w:t xml:space="preserve"> </w:t>
      </w:r>
      <w:r>
        <w:rPr>
          <w:rStyle w:val="VerbatimChar"/>
        </w:rPr>
        <w:t xml:space="preserve">CM-WORK-TRACK-BINDING-ENFORCED</w:t>
      </w:r>
      <w:r>
        <w:t xml:space="preserve">,</w:t>
      </w:r>
      <w:r>
        <w:t xml:space="preserve"> </w:t>
      </w:r>
      <w:r>
        <w:t xml:space="preserve">which inspects the real committed diff regardless of HOW the commit happened —</w:t>
      </w:r>
      <w:r>
        <w:t xml:space="preserve"> </w:t>
      </w:r>
      <w:r>
        <w:t xml:space="preserve">that gate is the enforcement boundary; this hook is defense-in-depth (same split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guard-branch-consistency.sh</w:t>
      </w:r>
      <w:r>
        <w:t xml:space="preserve">).</w:t>
      </w:r>
    </w:p>
    <w:bookmarkEnd w:id="17"/>
    <w:bookmarkStart w:id="18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5"/>
        </w:numPr>
      </w:pPr>
      <w:r>
        <w:t xml:space="preserve">Parse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(jq-preferred, awk fallback — no jq dependency).</w:t>
      </w:r>
    </w:p>
    <w:p>
      <w:pPr>
        <w:pStyle w:val="Compact"/>
        <w:numPr>
          <w:ilvl w:val="0"/>
          <w:numId w:val="1005"/>
        </w:numPr>
      </w:pPr>
      <w:r>
        <w:t xml:space="preserve">Dispatch path → parse the §11.4.182 label + tickets → resolver</w:t>
      </w:r>
      <w:r>
        <w:t xml:space="preserve"> </w:t>
      </w:r>
      <w:r>
        <w:rPr>
          <w:rStyle w:val="VerbatimChar"/>
        </w:rPr>
        <w:t xml:space="preserve">check --branch &lt;B_lbl&gt; --track &lt;T_lbl&gt; --ticket …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Commit path → detect commit intent (argv-segment-aware) + broad-stage +</w:t>
      </w:r>
      <w:r>
        <w:t xml:space="preserve"> </w:t>
      </w:r>
      <w:r>
        <w:t xml:space="preserve">dynamic-pathspec → resolve the plumbing file set → resolver</w:t>
      </w:r>
      <w:r>
        <w:t xml:space="preserve"> </w:t>
      </w:r>
      <w:r>
        <w:rPr>
          <w:rStyle w:val="VerbatimChar"/>
        </w:rPr>
        <w:t xml:space="preserve">check --branch &lt;cur&gt; --track &lt;cur&gt; --files-from -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Resolver non-zero ⇒ BLOCK (or WARN under</w:t>
      </w:r>
      <w:r>
        <w:t xml:space="preserve"> </w:t>
      </w:r>
      <w:r>
        <w:rPr>
          <w:rStyle w:val="VerbatimChar"/>
        </w:rPr>
        <w:t xml:space="preserve"># guardrails:allow</w:t>
      </w:r>
      <w:r>
        <w:t xml:space="preserve">).</w:t>
      </w:r>
    </w:p>
    <w:bookmarkEnd w:id="18"/>
    <w:bookmarkStart w:id="19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6"/>
        </w:numPr>
      </w:pPr>
      <w:hyperlink r:id="rId9">
        <w:r>
          <w:rPr>
            <w:rStyle w:val="VerbatimChar"/>
          </w:rPr>
          <w:t xml:space="preserve">multitrack_work_binding.sh</w:t>
        </w:r>
      </w:hyperlink>
      <w:r>
        <w:t xml:space="preserve"> </w:t>
      </w:r>
      <w:r>
        <w:t xml:space="preserve">— the shared resolver this hook calls.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guard-branch-consistency.sh</w:t>
      </w:r>
      <w:r>
        <w:t xml:space="preserve"> </w:t>
      </w:r>
      <w:r>
        <w:t xml:space="preserve">— the §11.4.181 create-time sibling (branch NAME).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guard-track-branch-label.sh</w:t>
      </w:r>
      <w:r>
        <w:t xml:space="preserve"> </w:t>
      </w:r>
      <w:r>
        <w:t xml:space="preserve">— the §11.4.182 label-FORMAT sibling.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test_guard_work_track_binding.sh</w:t>
      </w:r>
      <w:r>
        <w:t xml:space="preserve"> </w:t>
      </w:r>
      <w:r>
        <w:t xml:space="preserve">— the hermetic test suite (34 cases, both paths; section D covers submodule-context DB resolution).</w:t>
      </w:r>
    </w:p>
    <w:bookmarkEnd w:id="19"/>
    <w:bookmarkStart w:id="20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constitution/scripts/hooks/test_guard_work_track_binding.sh</w:t>
      </w:r>
    </w:p>
    <w:p>
      <w:pPr>
        <w:pStyle w:val="FirstParagraph"/>
      </w:pPr>
      <w:r>
        <w:t xml:space="preserve">Hermetic: builds a throwaway schema-v4 registry + a throwaway git repo (with a</w:t>
      </w:r>
      <w:r>
        <w:t xml:space="preserve"> </w:t>
      </w:r>
      <w:r>
        <w:t xml:space="preserve">real seed commit); exercises BLOCK + ALLOW + fail-closed on both paths; exits 1</w:t>
      </w:r>
      <w:r>
        <w:t xml:space="preserve"> </w:t>
      </w:r>
      <w:r>
        <w:t xml:space="preserve">if any case fails. The paired §1.1 mutation that strips the resolver's</w:t>
      </w:r>
      <w:r>
        <w:t xml:space="preserve"> </w:t>
      </w:r>
      <w:r>
        <w:t xml:space="preserve">load-bearing branch comparison lands in the consumer meta-test (a separate</w:t>
      </w:r>
      <w:r>
        <w:t xml:space="preserve"> </w:t>
      </w:r>
      <w:r>
        <w:t xml:space="preserve">work item per §11.4.191(§6)).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2026-07-10 —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clean (§11.4.67); hermetic</w:t>
      </w:r>
      <w:r>
        <w:t xml:space="preserve"> </w:t>
      </w:r>
      <w:r>
        <w:t xml:space="preserve">suite 34/34 PASS (incl. section D: submodule-context DB resolution — parent DB</w:t>
      </w:r>
      <w:r>
        <w:t xml:space="preserve"> </w:t>
      </w:r>
      <w:r>
        <w:t xml:space="preserve">enforced, fail-closed preserved); the resolver branch-comparison mutation flips a</w:t>
      </w:r>
      <w:r>
        <w:t xml:space="preserve"> </w:t>
      </w:r>
      <w:r>
        <w:t xml:space="preserve">planted mis-placement from BLOCK to ALLOW (clause proven load-bearing).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ultitrack_work_bind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ultitrack_work_bind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2026-08-10T10:59:19Z</dcterms:created>
  <dcterms:modified xsi:type="dcterms:W3CDTF">2026-08-10T10:59:19Z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