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d865c6683bb6d273c119aa76663fde0eae972c7"/>
    <w:p>
      <w:pPr>
        <w:pStyle w:val="Heading1"/>
      </w:pPr>
      <w:r>
        <w:t xml:space="preserve">report_item.sh — §11.4.202 reporting-directive engine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2026-07-15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2026-07-15T00:00:00Z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constitution/scripts/reporting/report_item.sh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constitution/Constitution.md</w:t>
            </w:r>
            <w:r>
              <w:t xml:space="preserve"> </w:t>
            </w:r>
            <w:r>
              <w:t xml:space="preserve">§11.4.202</w:t>
            </w:r>
          </w:p>
        </w:tc>
      </w:tr>
    </w:tbl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report_item.sh</w:t>
      </w:r>
      <w:r>
        <w:t xml:space="preserve"> </w:t>
      </w:r>
      <w:r>
        <w:t xml:space="preserve">turns a plain-language REPORT — delivered by the §11.4.140</w:t>
      </w:r>
      <w:r>
        <w:t xml:space="preserve"> </w:t>
      </w:r>
      <w:r>
        <w:t xml:space="preserve">reporting directives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 or by any other caller — into a</w:t>
      </w:r>
      <w:r>
        <w:t xml:space="preserve"> </w:t>
      </w:r>
      <w:r>
        <w:rPr>
          <w:b/>
          <w:bCs/>
        </w:rPr>
        <w:t xml:space="preserve">real, fully-populated, fully-synced workable item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report text</w:t>
      </w:r>
      <w:r>
        <w:br/>
      </w:r>
      <w:r>
        <w:rPr>
          <w:rStyle w:val="VerbatimChar"/>
        </w:rPr>
        <w:t xml:space="preserve">   ├─(1) CREATE → the workable-items SQLite SSoT (§11.4.93 / §11.4.95)</w:t>
      </w:r>
      <w:r>
        <w:br/>
      </w:r>
      <w:r>
        <w:rPr>
          <w:rStyle w:val="VerbatimChar"/>
        </w:rPr>
        <w:t xml:space="preserve">   │              Type (§11.4.16) + Status=Queued (§11.4.15) + stable id (§11.4.54)</w:t>
      </w:r>
      <w:r>
        <w:br/>
      </w:r>
      <w:r>
        <w:rPr>
          <w:rStyle w:val="VerbatimChar"/>
        </w:rPr>
        <w:t xml:space="preserve">   │              + comprehensive structured description (§11.4.148 / §11.4.171)</w:t>
      </w:r>
      <w:r>
        <w:br/>
      </w:r>
      <w:r>
        <w:rPr>
          <w:rStyle w:val="VerbatimChar"/>
        </w:rPr>
        <w:t xml:space="preserve">   ├─(2) SYNC   → every derived document regenerated FROM the DB</w:t>
      </w:r>
      <w:r>
        <w:br/>
      </w:r>
      <w:r>
        <w:rPr>
          <w:rStyle w:val="VerbatimChar"/>
        </w:rPr>
        <w:t xml:space="preserve">   │              (Issues / Fixed / summaries + HTML/PDF/DOCX siblings)</w:t>
      </w:r>
      <w:r>
        <w:br/>
      </w:r>
      <w:r>
        <w:rPr>
          <w:rStyle w:val="VerbatimChar"/>
        </w:rPr>
        <w:t xml:space="preserve">   └─(3) PUSH   → every configured external tracker (§11.4.148 D5)</w:t>
      </w:r>
      <w:r>
        <w:br/>
      </w:r>
      <w:r>
        <w:rPr>
          <w:rStyle w:val="VerbatimChar"/>
        </w:rPr>
        <w:t xml:space="preserve">                  absent credentials / client ⇒ honest SKIP, NEVER a faked push</w:t>
      </w:r>
    </w:p>
    <w:p>
      <w:pPr>
        <w:pStyle w:val="FirstParagraph"/>
      </w:pPr>
      <w:r>
        <w:t xml:space="preserve">A report that is discussed but never tracked is a §11.4 PASS-bluff at the</w:t>
      </w:r>
      <w:r>
        <w:t xml:space="preserve"> </w:t>
      </w:r>
      <w:r>
        <w:t xml:space="preserve">requirements-intake layer (§11.4.197 — a started requirement never evaporates).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python3</w:t>
      </w:r>
      <w:r>
        <w:t xml:space="preserve"> </w:t>
      </w:r>
      <w:r>
        <w:t xml:space="preserve">(+PyYAML) — reads the consumer config.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Go binary (committed in the constitution, or built, or</w:t>
      </w:r>
      <w:r>
        <w:t xml:space="preserve"> </w:t>
      </w:r>
      <w:r>
        <w:t xml:space="preserve">pointed at via</w:t>
      </w:r>
      <w:r>
        <w:t xml:space="preserve"> </w:t>
      </w:r>
      <w:r>
        <w:rPr>
          <w:rStyle w:val="VerbatimChar"/>
        </w:rPr>
        <w:t xml:space="preserve">$WORKABLE_ITEMS_BIN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consumer-owned config</w:t>
      </w:r>
      <w:r>
        <w:t xml:space="preserve"> </w:t>
      </w:r>
      <w:r>
        <w:t xml:space="preserve">(the engine refuses to guess — §11.4.6):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.helix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constitution/scripts/reporting/reporting.example.yaml .helix/reporting.yaml</w:t>
      </w:r>
      <w:r>
        <w:br/>
      </w:r>
      <w:r>
        <w:rPr>
          <w:rStyle w:val="VariableTok"/>
        </w:rPr>
        <w:t xml:space="preserve">$EDITOR</w:t>
      </w:r>
      <w:r>
        <w:rPr>
          <w:rStyle w:val="NormalTok"/>
        </w:rPr>
        <w:t xml:space="preserve"> .helix/reporting.yaml     </w:t>
      </w:r>
      <w:r>
        <w:rPr>
          <w:rStyle w:val="CommentTok"/>
        </w:rPr>
        <w:t xml:space="preserve"># db, id_prefix, sync_command, trackers</w:t>
      </w:r>
    </w:p>
    <w:p>
      <w:pPr>
        <w:pStyle w:val="FirstParagraph"/>
      </w:pPr>
      <w:r>
        <w:t xml:space="preserve">Search order:</w:t>
      </w:r>
      <w:r>
        <w:t xml:space="preserve"> </w:t>
      </w:r>
      <w:r>
        <w:rPr>
          <w:rStyle w:val="VerbatimChar"/>
        </w:rPr>
        <w:t xml:space="preserve">$HELIX_REPORTING_CONFIG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.helix/reporting.yaml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config/reporting/reporting.yaml</w:t>
      </w:r>
      <w:r>
        <w:t xml:space="preserve">.</w:t>
      </w:r>
    </w:p>
    <w:bookmarkEnd w:id="10"/>
    <w:bookmarkStart w:id="11" w:name="usage-examples"/>
    <w:p>
      <w:pPr>
        <w:pStyle w:val="Heading2"/>
      </w:pPr>
      <w:r>
        <w:t xml:space="preserve">Usage examples</w:t>
      </w:r>
    </w:p>
    <w:p>
      <w:pPr>
        <w:pStyle w:val="SourceCode"/>
      </w:pPr>
      <w:r>
        <w:rPr>
          <w:rStyle w:val="CommentTok"/>
        </w:rPr>
        <w:t xml:space="preserve"># A defect (Type=Bug, fixed):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constitution/scripts/reporting/report_item.sh </w:t>
      </w:r>
      <w:r>
        <w:rPr>
          <w:rStyle w:val="AttributeTok"/>
        </w:rPr>
        <w:t xml:space="preserve">--kind</w:t>
      </w:r>
      <w:r>
        <w:rPr>
          <w:rStyle w:val="NormalTok"/>
        </w:rPr>
        <w:t xml:space="preserve"> bug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'Audio drops to stereo on the AVR after a reboot; the receiver shows PCM 2.0.'</w:t>
      </w:r>
      <w:r>
        <w:br/>
      </w:r>
      <w:r>
        <w:br/>
      </w:r>
      <w:r>
        <w:rPr>
          <w:rStyle w:val="CommentTok"/>
        </w:rPr>
        <w:t xml:space="preserve"># An internal workstream item (Type=Task, fixed):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constitution/scripts/reporting/report_item.sh </w:t>
      </w:r>
      <w:r>
        <w:rPr>
          <w:rStyle w:val="AttributeTok"/>
        </w:rPr>
        <w:t xml:space="preserve">--kind</w:t>
      </w:r>
      <w:r>
        <w:rPr>
          <w:rStyle w:val="NormalTok"/>
        </w:rPr>
        <w:t xml:space="preserve"> task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'Extend the flasher to take an explicit --serial (§11.4.200).'</w:t>
      </w:r>
      <w:r>
        <w:br/>
      </w:r>
      <w:r>
        <w:br/>
      </w:r>
      <w:r>
        <w:rPr>
          <w:rStyle w:val="CommentTok"/>
        </w:rPr>
        <w:t xml:space="preserve"># A generic report — the type MUST be classified into {Bug|Feature|Task}: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constitution/scripts/reporting/report_item.sh </w:t>
      </w:r>
      <w:r>
        <w:rPr>
          <w:rStyle w:val="AttributeTok"/>
        </w:rPr>
        <w:t xml:space="preserve">--kind</w:t>
      </w:r>
      <w:r>
        <w:rPr>
          <w:rStyle w:val="NormalTok"/>
        </w:rPr>
        <w:t xml:space="preserve"> issue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Feature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'Per-display font scale'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TV needs its own default font size.'</w:t>
      </w:r>
      <w:r>
        <w:br/>
      </w:r>
      <w:r>
        <w:br/>
      </w:r>
      <w:r>
        <w:rPr>
          <w:rStyle w:val="CommentTok"/>
        </w:rPr>
        <w:t xml:space="preserve"># Rich, structured intake (omitted sections ⇒ honest UNKNOWN:, never invented)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constitution/scripts/reporting/report_item.sh </w:t>
      </w:r>
      <w:r>
        <w:rPr>
          <w:rStyle w:val="AttributeTok"/>
        </w:rPr>
        <w:t xml:space="preserve">--kind</w:t>
      </w:r>
      <w:r>
        <w:rPr>
          <w:rStyle w:val="NormalTok"/>
        </w:rPr>
        <w:t xml:space="preserve"> bug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'Subtitles render the control-menu label'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2nd display shows the chrome label instead of the dialogue cue.'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'presenter: PresenterAccessibilityService.kt'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--repro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'Play a RU title, open Audio&amp;Subtitles, press back.'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--acceptance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'Only dialogue cues render; the denylist rejects chrome labels.'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--severity</w:t>
      </w:r>
      <w:r>
        <w:rPr>
          <w:rStyle w:val="NormalTok"/>
        </w:rPr>
        <w:t xml:space="preserve"> Critical </w:t>
      </w:r>
      <w:r>
        <w:rPr>
          <w:rStyle w:val="AttributeTok"/>
        </w:rPr>
        <w:t xml:space="preserve">--json</w:t>
      </w:r>
      <w:r>
        <w:br/>
      </w:r>
      <w:r>
        <w:br/>
      </w:r>
      <w:r>
        <w:rPr>
          <w:rStyle w:val="CommentTok"/>
        </w:rPr>
        <w:t xml:space="preserve"># Preview without writing anything: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constitution/scripts/reporting/report_item.sh </w:t>
      </w:r>
      <w:r>
        <w:rPr>
          <w:rStyle w:val="AttributeTok"/>
        </w:rPr>
        <w:t xml:space="preserve">--kind</w:t>
      </w:r>
      <w:r>
        <w:rPr>
          <w:rStyle w:val="NormalTok"/>
        </w:rPr>
        <w:t xml:space="preserve"> bug </w:t>
      </w:r>
      <w:r>
        <w:rPr>
          <w:rStyle w:val="AttributeTok"/>
        </w:rPr>
        <w:t xml:space="preserve">--report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--kind bug|task|issue</w:t>
            </w:r>
          </w:p>
        </w:tc>
        <w:tc>
          <w:tcPr/>
          <w:p>
            <w:pPr>
              <w:pStyle w:val="Compact"/>
            </w:pPr>
            <w:r>
              <w:t xml:space="preserve">required.</w:t>
            </w:r>
            <w:r>
              <w:t xml:space="preserve"> </w:t>
            </w:r>
            <w:r>
              <w:rPr>
                <w:rStyle w:val="VerbatimChar"/>
              </w:rPr>
              <w:t xml:space="preserve">bug</w:t>
            </w:r>
            <w:r>
              <w:t xml:space="preserve">⇒Type=Bug,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⇒Type=Task,</w:t>
            </w:r>
            <w:r>
              <w:t xml:space="preserve"> </w:t>
            </w:r>
            <w:r>
              <w:rPr>
                <w:rStyle w:val="VerbatimChar"/>
              </w:rPr>
              <w:t xml:space="preserve">issue</w:t>
            </w:r>
            <w:r>
              <w:t xml:space="preserve">⇒needs</w:t>
            </w:r>
            <w:r>
              <w:t xml:space="preserve"> </w:t>
            </w:r>
            <w:r>
              <w:rPr>
                <w:rStyle w:val="VerbatimChar"/>
              </w:rPr>
              <w:t xml:space="preserve">--type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--type Bug|Feature|Task</w:t>
            </w:r>
          </w:p>
        </w:tc>
        <w:tc>
          <w:tcPr/>
          <w:p>
            <w:pPr>
              <w:pStyle w:val="Compact"/>
            </w:pPr>
            <w:r>
              <w:t xml:space="preserve">required for</w:t>
            </w:r>
            <w:r>
              <w:t xml:space="preserve"> </w:t>
            </w:r>
            <w:r>
              <w:rPr>
                <w:rStyle w:val="VerbatimChar"/>
              </w:rPr>
              <w:t xml:space="preserve">--kind issue</w:t>
            </w:r>
            <w:r>
              <w:t xml:space="preserve"> </w:t>
            </w:r>
            <w:r>
              <w:t xml:space="preserve">(§11.4.16 closed 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--autonomous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--kind issue</w:t>
            </w:r>
            <w:r>
              <w:t xml:space="preserve"> </w:t>
            </w:r>
            <w:r>
              <w:t xml:space="preserve">with no</w:t>
            </w:r>
            <w:r>
              <w:t xml:space="preserve"> </w:t>
            </w:r>
            <w:r>
              <w:rPr>
                <w:rStyle w:val="VerbatimChar"/>
              </w:rPr>
              <w:t xml:space="preserve">--type</w:t>
            </w:r>
            <w:r>
              <w:t xml:space="preserve">: use the §11.4.16 lowest-stakes default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rPr>
                <w:b/>
                <w:bCs/>
              </w:rPr>
              <w:t xml:space="preserve">and record the defaulted classification</w:t>
            </w:r>
            <w:r>
              <w:t xml:space="preserve"> </w:t>
            </w:r>
            <w:r>
              <w:t xml:space="preserve">in the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--report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--report-file</w:t>
            </w:r>
            <w:r>
              <w:t xml:space="preserve"> </w:t>
            </w:r>
            <w:r>
              <w:t xml:space="preserve">/ stdin</w:t>
            </w:r>
          </w:p>
        </w:tc>
        <w:tc>
          <w:tcPr/>
          <w:p>
            <w:pPr>
              <w:pStyle w:val="Compact"/>
            </w:pPr>
            <w:r>
              <w:t xml:space="preserve">the report text (in that precedence)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--title</w:t>
            </w:r>
          </w:p>
        </w:tc>
        <w:tc>
          <w:tcPr/>
          <w:p>
            <w:pPr>
              <w:pStyle w:val="Compact"/>
            </w:pPr>
            <w:r>
              <w:t xml:space="preserve">optional; derived from the report's first sentence when omitted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--repro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--acceptance</w:t>
            </w:r>
          </w:p>
        </w:tc>
        <w:tc>
          <w:tcPr/>
          <w:p>
            <w:pPr>
              <w:pStyle w:val="Compact"/>
            </w:pPr>
            <w:r>
              <w:t xml:space="preserve">optional structured sections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--reported-by</w:t>
            </w:r>
          </w:p>
        </w:tc>
        <w:tc>
          <w:tcPr/>
          <w:p>
            <w:pPr>
              <w:pStyle w:val="Compact"/>
            </w:pPr>
            <w:r>
              <w:t xml:space="preserve">optional; fall back to the config defaults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--no-sync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--no-tracker</w:t>
            </w:r>
          </w:p>
        </w:tc>
        <w:tc>
          <w:tcPr/>
          <w:p>
            <w:pPr>
              <w:pStyle w:val="Compact"/>
            </w:pPr>
            <w:r>
              <w:t xml:space="preserve">skip step 2 / step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--dry-run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--json</w:t>
            </w:r>
          </w:p>
        </w:tc>
        <w:tc>
          <w:tcPr/>
          <w:p>
            <w:pPr>
              <w:pStyle w:val="Compact"/>
            </w:pPr>
            <w:r>
              <w:t xml:space="preserve">preview / machine-readable result</w:t>
            </w:r>
          </w:p>
        </w:tc>
      </w:tr>
    </w:tbl>
    <w:bookmarkEnd w:id="11"/>
    <w:bookmarkStart w:id="12" w:name="edge-cases-all-honest-none-faked"/>
    <w:p>
      <w:pPr>
        <w:pStyle w:val="Heading2"/>
      </w:pPr>
      <w:r>
        <w:t xml:space="preserve">Edge cases (all honest, none faked)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config found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2</w:t>
            </w:r>
            <w:r>
              <w:t xml:space="preserve"> </w:t>
            </w:r>
            <w:r>
              <w:t xml:space="preserve">with the template path. The engine never guesses your DB path (§11.4.6).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--kind issue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--type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Refused</w:t>
            </w:r>
            <w:r>
              <w:t xml:space="preserve"> </w:t>
            </w:r>
            <w:r>
              <w:t xml:space="preserve">(exit 64). Classify it, ASK the operator (§11.4.66), or pass</w:t>
            </w:r>
            <w:r>
              <w:t xml:space="preserve"> </w:t>
            </w:r>
            <w:r>
              <w:rPr>
                <w:rStyle w:val="VerbatimChar"/>
              </w:rPr>
              <w:t xml:space="preserve">--autonomous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Tracker credentials unset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  <w:r>
              <w:t xml:space="preserve"> </w:t>
            </w:r>
            <w:r>
              <w:rPr>
                <w:rStyle w:val="VerbatimChar"/>
              </w:rPr>
              <w:t xml:space="preserve">SKIP</w:t>
            </w:r>
            <w:r>
              <w:t xml:space="preserve">, reason</w:t>
            </w:r>
            <w:r>
              <w:t xml:space="preserve"> </w:t>
            </w:r>
            <w:r>
              <w:rPr>
                <w:rStyle w:val="VerbatimChar"/>
              </w:rPr>
              <w:t xml:space="preserve">credentials_absent: unset env: NAME …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variable names only, never values</w:t>
            </w:r>
            <w:r>
              <w:t xml:space="preserve"> </w:t>
            </w:r>
            <w:r>
              <w:t xml:space="preserve">(§11.4.10).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Tracker client not built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  <w:r>
              <w:t xml:space="preserve"> </w:t>
            </w:r>
            <w:r>
              <w:rPr>
                <w:rStyle w:val="VerbatimChar"/>
              </w:rPr>
              <w:t xml:space="preserve">SKIP</w:t>
            </w:r>
            <w:r>
              <w:t xml:space="preserve">, reason</w:t>
            </w:r>
            <w:r>
              <w:t xml:space="preserve"> </w:t>
            </w:r>
            <w:r>
              <w:rPr>
                <w:rStyle w:val="VerbatimChar"/>
              </w:rPr>
              <w:t xml:space="preserve">tracker_client_absent</w:t>
            </w:r>
            <w:r>
              <w:t xml:space="preserve"> </w:t>
            </w:r>
            <w:r>
              <w:t xml:space="preserve">(PENDING-OPERATOR-INPUT).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Tracker command fails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  <w:r>
              <w:t xml:space="preserve"> </w:t>
            </w:r>
            <w:r>
              <w:t xml:space="preserve">with its exit code — reported, never hidden. The item still exists.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command fails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5</w:t>
            </w:r>
            <w:r>
              <w:t xml:space="preserve">. The item IS created (the DB is the SSoT); re-run the sync.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sync_command</w:t>
            </w:r>
            <w:r>
              <w:t xml:space="preserve"> </w:t>
            </w:r>
            <w:r>
              <w:t xml:space="preserve">configured</w:t>
            </w:r>
          </w:p>
        </w:tc>
        <w:tc>
          <w:tcPr/>
          <w:p>
            <w:pPr>
              <w:pStyle w:val="Compact"/>
            </w:pPr>
            <w:r>
              <w:t xml:space="preserve">Honest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t xml:space="preserve">with reason — never an invented command.</w:t>
            </w:r>
          </w:p>
        </w:tc>
      </w:tr>
    </w:tbl>
    <w:p>
      <w:pPr>
        <w:pStyle w:val="BodyText"/>
      </w:pPr>
      <w:r>
        <w:t xml:space="preserve">A tracker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is recorded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after a real push command exits 0.</w:t>
      </w:r>
    </w:p>
    <w:bookmarkEnd w:id="12"/>
    <w:bookmarkStart w:id="13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</w:t>
      </w:r>
      <w:r>
        <w:t xml:space="preserve"> </w:t>
      </w:r>
      <w:r>
        <w:t xml:space="preserve">→ python3/PyYAML → shell-safe</w:t>
      </w:r>
      <w:r>
        <w:t xml:space="preserve"> </w:t>
      </w:r>
      <w:r>
        <w:rPr>
          <w:rStyle w:val="VerbatimChar"/>
        </w:rPr>
        <w:t xml:space="preserve">KEY=value</w:t>
      </w:r>
      <w:r>
        <w:t xml:space="preserve"> </w:t>
      </w:r>
      <w:r>
        <w:t xml:space="preserve">pairs (values quoted).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Binary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$WORKABLE_ITEMS_BIN</w:t>
      </w:r>
      <w:r>
        <w:t xml:space="preserve"> </w:t>
      </w:r>
      <w:r>
        <w:t xml:space="preserve">→ config → committed constitution binary →</w:t>
      </w:r>
      <w:r>
        <w:t xml:space="preserve"> </w:t>
      </w:r>
      <w:r>
        <w:rPr>
          <w:rStyle w:val="VerbatimChar"/>
        </w:rPr>
        <w:t xml:space="preserve">go build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→ the §11.4.148 D2 template. Sections the report does not</w:t>
      </w:r>
      <w:r>
        <w:t xml:space="preserve"> </w:t>
      </w:r>
      <w:r>
        <w:t xml:space="preserve">state are written as explicit</w:t>
      </w:r>
      <w:r>
        <w:t xml:space="preserve"> </w:t>
      </w:r>
      <w:r>
        <w:rPr>
          <w:rStyle w:val="VerbatimChar"/>
        </w:rPr>
        <w:t xml:space="preserve">UNKNOWN:</w:t>
      </w:r>
      <w:r>
        <w:t xml:space="preserve"> </w:t>
      </w:r>
      <w:r>
        <w:t xml:space="preserve">gaps — never invented (§11.4.6).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workable-items add &lt;Type&gt; &lt;Severity&gt; …</w:t>
      </w:r>
      <w:r>
        <w:t xml:space="preserve">; the assigned id is</w:t>
      </w:r>
      <w:r>
        <w:t xml:space="preserve"> </w:t>
      </w:r>
      <w:r>
        <w:t xml:space="preserve">parsed from the binary's own output.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Sync</w:t>
      </w:r>
      <w:r>
        <w:t xml:space="preserve"> </w:t>
      </w:r>
      <w:r>
        <w:t xml:space="preserve">→ the consumer's</w:t>
      </w:r>
      <w:r>
        <w:t xml:space="preserve"> </w:t>
      </w:r>
      <w:r>
        <w:rPr>
          <w:rStyle w:val="VerbatimChar"/>
        </w:rPr>
        <w:t xml:space="preserve">sync_command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{db}</w:t>
      </w:r>
      <w:r>
        <w:t xml:space="preserve"> </w:t>
      </w:r>
      <w:r>
        <w:t xml:space="preserve">substituted), run from the</w:t>
      </w:r>
      <w:r>
        <w:t xml:space="preserve"> </w:t>
      </w:r>
      <w:r>
        <w:t xml:space="preserve">project root.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Trackers</w:t>
      </w:r>
      <w:r>
        <w:t xml:space="preserve"> </w:t>
      </w:r>
      <w:r>
        <w:t xml:space="preserve">→ for each: presence-check</w:t>
      </w:r>
      <w:r>
        <w:t xml:space="preserve"> </w:t>
      </w:r>
      <w:r>
        <w:rPr>
          <w:rStyle w:val="VerbatimChar"/>
        </w:rPr>
        <w:t xml:space="preserve">required_env</w:t>
      </w:r>
      <w:r>
        <w:t xml:space="preserve"> </w:t>
      </w:r>
      <w:r>
        <w:t xml:space="preserve">(never value-read),</w:t>
      </w:r>
      <w:r>
        <w:t xml:space="preserve"> </w:t>
      </w:r>
      <w:r>
        <w:t xml:space="preserve">render</w:t>
      </w:r>
      <w:r>
        <w:t xml:space="preserve"> </w:t>
      </w:r>
      <w:r>
        <w:rPr>
          <w:rStyle w:val="VerbatimChar"/>
        </w:rPr>
        <w:t xml:space="preserve">{db}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{id}</w:t>
      </w:r>
      <w:r>
        <w:t xml:space="preserve">, run, capture.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Evidence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&lt;evidence_dir&gt;/&lt;id&gt;_&lt;ts&gt;/result.json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create.log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sync.log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tracker_&lt;name&gt;.log</w:t>
      </w:r>
      <w:r>
        <w:t xml:space="preserve"> </w:t>
      </w:r>
      <w:r>
        <w:t xml:space="preserve">(§11.4.5 / §11.4.69).</w:t>
      </w:r>
    </w:p>
    <w:bookmarkEnd w:id="13"/>
    <w:bookmarkStart w:id="14" w:name="decoupling-11428--114177"/>
    <w:p>
      <w:pPr>
        <w:pStyle w:val="Heading2"/>
      </w:pPr>
      <w:r>
        <w:t xml:space="preserve">Decoupling (§11.4.28 / §11.4.177)</w:t>
      </w:r>
    </w:p>
    <w:p>
      <w:pPr>
        <w:pStyle w:val="FirstParagraph"/>
      </w:pPr>
      <w:r>
        <w:t xml:space="preserve">The engine carries</w:t>
      </w:r>
      <w:r>
        <w:t xml:space="preserve"> </w:t>
      </w:r>
      <w:r>
        <w:rPr>
          <w:b/>
          <w:bCs/>
        </w:rPr>
        <w:t xml:space="preserve">zero project literals</w:t>
      </w:r>
      <w:r>
        <w:t xml:space="preserve"> </w:t>
      </w:r>
      <w:r>
        <w:t xml:space="preserve">and is inherited</w:t>
      </w:r>
      <w:r>
        <w:t xml:space="preserve"> </w:t>
      </w:r>
      <w:r>
        <w:rPr>
          <w:b/>
          <w:bCs/>
        </w:rPr>
        <w:t xml:space="preserve">by reference</w:t>
      </w:r>
      <w:r>
        <w:t xml:space="preserve"> </w:t>
      </w:r>
      <w:r>
        <w:t xml:space="preserve">(never copied). Every project-specific value is consumer-owned DATA. The</w:t>
      </w:r>
      <w:r>
        <w:t xml:space="preserve"> </w:t>
      </w:r>
      <w:r>
        <w:rPr>
          <w:rStyle w:val="VerbatimChar"/>
        </w:rPr>
        <w:t xml:space="preserve">CM-REPORTING-DIRECTIVES</w:t>
      </w:r>
      <w:r>
        <w:t xml:space="preserve"> </w:t>
      </w:r>
      <w:r>
        <w:t xml:space="preserve">gate enforces this (a hardcoded track path or id</w:t>
      </w:r>
      <w:r>
        <w:t xml:space="preserve"> </w:t>
      </w:r>
      <w:r>
        <w:t xml:space="preserve">prefix in the engine → gate FAILs).</w:t>
      </w:r>
    </w:p>
    <w:bookmarkEnd w:id="14"/>
    <w:bookmarkStart w:id="15" w:name="related"/>
    <w:p>
      <w:pPr>
        <w:pStyle w:val="Heading2"/>
      </w:pPr>
      <w:r>
        <w:t xml:space="preserve">Related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constitution/actions/registry.yaml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ISSUE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rows + the grammar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constitution/scripts/action_prefix_lib.sh</w:t>
            </w:r>
          </w:p>
        </w:tc>
        <w:tc>
          <w:tcPr/>
          <w:p>
            <w:pPr>
              <w:pStyle w:val="Compact"/>
            </w:pPr>
            <w:r>
              <w:t xml:space="preserve">the §11.4.140 parser (all six forms)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constitution/scripts/reporting/reporting.example.yaml</w:t>
            </w:r>
          </w:p>
        </w:tc>
        <w:tc>
          <w:tcPr/>
          <w:p>
            <w:pPr>
              <w:pStyle w:val="Compact"/>
            </w:pPr>
            <w:r>
              <w:t xml:space="preserve">the consumer config 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constitution/scripts/gates/cm_reporting_directives.sh</w:t>
            </w:r>
          </w:p>
        </w:tc>
        <w:tc>
          <w:tcPr/>
          <w:p>
            <w:pPr>
              <w:pStyle w:val="Compact"/>
            </w:pPr>
            <w:r>
              <w:t xml:space="preserve">the pre-build gate (+ its §1.1 mutation 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tests/reporting/test_report_item_e2e.sh</w:t>
            </w:r>
          </w:p>
        </w:tc>
        <w:tc>
          <w:tcPr/>
          <w:p>
            <w:pPr>
              <w:pStyle w:val="Compact"/>
            </w:pPr>
            <w:r>
              <w:t xml:space="preserve">the real-DB end-to-end + self-validation suite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constitution/scripts/workable-items/</w:t>
            </w:r>
          </w:p>
        </w:tc>
        <w:tc>
          <w:tcPr/>
          <w:p>
            <w:pPr>
              <w:pStyle w:val="Compact"/>
            </w:pPr>
            <w:r>
              <w:t xml:space="preserve">the DB SSoT binary (§11.4.93)</w:t>
            </w:r>
          </w:p>
        </w:tc>
      </w:tr>
    </w:tbl>
    <w:p>
      <w:pPr>
        <w:pStyle w:val="BodyText"/>
      </w:pPr>
      <w:r>
        <w:rPr>
          <w:b/>
          <w:bCs/>
        </w:rPr>
        <w:t xml:space="preserve">Last verified:</w:t>
      </w:r>
      <w:r>
        <w:t xml:space="preserve"> </w:t>
      </w:r>
      <w:r>
        <w:t xml:space="preserve">2026-07-15 — end-to-end against a real SQLite DB: item created</w:t>
      </w:r>
      <w:r>
        <w:t xml:space="preserve"> </w:t>
      </w:r>
      <w:r>
        <w:t xml:space="preserve">with the correct Type/Status/id, docs regenerated from the DB, both trackers</w:t>
      </w:r>
      <w:r>
        <w:t xml:space="preserve"> </w:t>
      </w:r>
      <w:r>
        <w:t xml:space="preserve">SKIPped with honest reasons (38/38 PASS); gate 21/21 PASS with all 6 paired</w:t>
      </w:r>
      <w:r>
        <w:t xml:space="preserve"> </w:t>
      </w:r>
      <w:r>
        <w:t xml:space="preserve">mutations caught.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2026-08-10T10:59:25Z</dcterms:created>
  <dcterms:modified xsi:type="dcterms:W3CDTF">2026-08-10T10:59:25Z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