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c47ea61f09da173e6c2f61fe5699381186b50c"/>
    <w:p>
      <w:pPr>
        <w:pStyle w:val="Heading1"/>
      </w:pPr>
      <w:r>
        <w:t xml:space="preserve">Canonical Universal Translation Pipeline (§11.4.133)</w:t>
      </w:r>
    </w:p>
    <w:p>
      <w:pPr>
        <w:pStyle w:val="FirstParagraph"/>
      </w:pPr>
      <w:r>
        <w:t xml:space="preserve">This directory ships the</w:t>
      </w:r>
      <w:r>
        <w:t xml:space="preserve"> </w:t>
      </w:r>
      <w:r>
        <w:rPr>
          <w:b/>
          <w:bCs/>
        </w:rPr>
        <w:t xml:space="preserve">inherited, mandatory</w:t>
      </w:r>
      <w:r>
        <w:t xml:space="preserve"> </w:t>
      </w:r>
      <w:r>
        <w:t xml:space="preserve">translation standard for every</w:t>
      </w:r>
      <w:r>
        <w:t xml:space="preserve"> </w:t>
      </w:r>
      <w:r>
        <w:t xml:space="preserve">project that inherits the HelixConstitution. Per</w:t>
      </w:r>
      <w:r>
        <w:t xml:space="preserve"> </w:t>
      </w:r>
      <w:r>
        <w:rPr>
          <w:b/>
          <w:bCs/>
        </w:rPr>
        <w:t xml:space="preserve">Constitution.md §11.4.133</w:t>
      </w:r>
      <w:r>
        <w:t xml:space="preserve">, ALL</w:t>
      </w:r>
      <w:r>
        <w:t xml:space="preserve"> </w:t>
      </w:r>
      <w:r>
        <w:t xml:space="preserve">translations of ANY content (UI strings, documents, articles, CVs, READMEs,</w:t>
      </w:r>
      <w:r>
        <w:t xml:space="preserve"> </w:t>
      </w:r>
      <w:r>
        <w:t xml:space="preserve">marketing copy, in-app messages, release notes, legal text — any human-language</w:t>
      </w:r>
      <w:r>
        <w:t xml:space="preserve"> </w:t>
      </w:r>
      <w:r>
        <w:t xml:space="preserve">string rendered in a non-source language) MUST be produced by</w:t>
      </w:r>
      <w:r>
        <w:t xml:space="preserve"> </w:t>
      </w:r>
      <w:r>
        <w:rPr>
          <w:b/>
          <w:bCs/>
        </w:rPr>
        <w:t xml:space="preserve">HelixTranslate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git@github.com:HelixDevelopment/HelixTranslate.git</w:t>
      </w:r>
      <w:r>
        <w:t xml:space="preserve">) driven through the scripts in</w:t>
      </w:r>
      <w:r>
        <w:t xml:space="preserve"> </w:t>
      </w:r>
      <w:r>
        <w:t xml:space="preserve">this directory. This is a hard, non-negotiable constraint — not a recommendation.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 single, evidenced, fail-loud translation engine + pipeline so that every</w:t>
      </w:r>
      <w:r>
        <w:t xml:space="preserve"> </w:t>
      </w:r>
      <w:r>
        <w:t xml:space="preserve">translated string in the fleet has a known provenance, a reproducible pipeline, and</w:t>
      </w:r>
      <w:r>
        <w:t xml:space="preserve"> </w:t>
      </w:r>
      <w:r>
        <w:t xml:space="preserve">a captured accuracy proof. One engine, one pipeline, one evidence trail.</w:t>
      </w:r>
    </w:p>
    <w:bookmarkEnd w:id="9"/>
    <w:bookmarkStart w:id="10" w:name="files"/>
    <w:p>
      <w:pPr>
        <w:pStyle w:val="Heading2"/>
      </w:pPr>
      <w:r>
        <w:t xml:space="preserve">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translate-pipeline.sh</w:t>
            </w:r>
          </w:p>
        </w:tc>
        <w:tc>
          <w:tcPr/>
          <w:p>
            <w:pPr>
              <w:pStyle w:val="Compact"/>
            </w:pPr>
            <w:r>
              <w:t xml:space="preserve">Universal Markdown / plain-text translator. Two modes:</w:t>
            </w:r>
            <w:r>
              <w:t xml:space="preserve"> </w:t>
            </w:r>
            <w:r>
              <w:rPr>
                <w:b/>
                <w:bCs/>
              </w:rPr>
              <w:t xml:space="preserve">plain</w:t>
            </w:r>
            <w:r>
              <w:t xml:space="preserve"> </w:t>
            </w:r>
            <w:r>
              <w:t xml:space="preserve">(whole file) 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--article</w:t>
            </w:r>
            <w:r>
              <w:t xml:space="preserve"> </w:t>
            </w:r>
            <w:r>
              <w:t xml:space="preserve">(YAML frontmatter kept byte-identical; only the body is translated, then reassembled).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render-articles.sh</w:t>
            </w:r>
          </w:p>
        </w:tc>
        <w:tc>
          <w:tcPr/>
          <w:p>
            <w:pPr>
              <w:pStyle w:val="Compact"/>
            </w:pPr>
            <w:r>
              <w:t xml:space="preserve">Renders translated article Markdown sources into standalone HTML fragments (frontmatter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/</w:t>
            </w:r>
            <w:r>
              <w:rPr>
                <w:rStyle w:val="VerbatimChar"/>
              </w:rPr>
              <w:t xml:space="preserve">repo</w:t>
            </w:r>
            <w:r>
              <w:t xml:space="preserve">/</w:t>
            </w:r>
            <w:r>
              <w:rPr>
                <w:rStyle w:val="VerbatimChar"/>
              </w:rPr>
              <w:t xml:space="preserve">tech</w:t>
            </w:r>
            <w:r>
              <w:t xml:space="preserve"> </w:t>
            </w:r>
            <w:r>
              <w:t xml:space="preserve">→ header, body →</w:t>
            </w:r>
            <w:r>
              <w:t xml:space="preserve"> </w:t>
            </w:r>
            <w:r>
              <w:rPr>
                <w:rStyle w:val="VerbatimChar"/>
              </w:rPr>
              <w:t xml:space="preserve">pandoc</w:t>
            </w:r>
            <w:r>
              <w:t xml:space="preserve"> </w:t>
            </w:r>
            <w:r>
              <w:t xml:space="preserve">html5).</w:t>
            </w:r>
          </w:p>
        </w:tc>
      </w:tr>
    </w:tbl>
    <w:p>
      <w:pPr>
        <w:pStyle w:val="BodyText"/>
      </w:pPr>
      <w:r>
        <w:t xml:space="preserve">Both scripts are</w:t>
      </w:r>
      <w:r>
        <w:t xml:space="preserve"> </w:t>
      </w:r>
      <w:r>
        <w:rPr>
          <w:b/>
          <w:bCs/>
        </w:rPr>
        <w:t xml:space="preserve">reusable verbatim</w:t>
      </w:r>
      <w:r>
        <w:t xml:space="preserve"> </w:t>
      </w:r>
      <w:r>
        <w:t xml:space="preserve">across projects and languages. Do not fork or</w:t>
      </w:r>
      <w:r>
        <w:t xml:space="preserve"> </w:t>
      </w:r>
      <w:r>
        <w:t xml:space="preserve">hand-edit per project; configure them via environment variables (below).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Translate a whole Markdown/plain file:</w:t>
      </w:r>
      <w:r>
        <w:br/>
      </w:r>
      <w:r>
        <w:rPr>
          <w:rStyle w:val="ExtensionTok"/>
        </w:rPr>
        <w:t xml:space="preserve">translate-pipeline.sh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src.md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dst.md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--lang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Translate an article (preserve YAML frontmatter byte-identical, translate body):</w:t>
      </w:r>
      <w:r>
        <w:br/>
      </w:r>
      <w:r>
        <w:rPr>
          <w:rStyle w:val="ExtensionTok"/>
        </w:rPr>
        <w:t xml:space="preserve">translate-pipeline.sh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src.md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dst.md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--lang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--article</w:t>
      </w:r>
      <w:r>
        <w:br/>
      </w:r>
      <w:r>
        <w:br/>
      </w:r>
      <w:r>
        <w:rPr>
          <w:rStyle w:val="CommentTok"/>
        </w:rPr>
        <w:t xml:space="preserve"># Render translated article sources to HTML fragments:</w:t>
      </w:r>
      <w:r>
        <w:br/>
      </w:r>
      <w:r>
        <w:rPr>
          <w:rStyle w:val="CommentTok"/>
        </w:rPr>
        <w:t xml:space="preserve">#   SOURCES: &lt;site-root&gt;/_article_src/&lt;lang&gt;/*.md</w:t>
      </w:r>
      <w:r>
        <w:br/>
      </w:r>
      <w:r>
        <w:rPr>
          <w:rStyle w:val="CommentTok"/>
        </w:rPr>
        <w:t xml:space="preserve">#   OUTPUT:  &lt;site-root&gt;/articles/&lt;lang&gt;/*.html</w:t>
      </w:r>
      <w:r>
        <w:br/>
      </w:r>
      <w:r>
        <w:rPr>
          <w:rStyle w:val="ExtensionTok"/>
        </w:rPr>
        <w:t xml:space="preserve">render-articles.sh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site-root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...]</w:t>
      </w:r>
    </w:p>
    <w:p>
      <w:pPr>
        <w:pStyle w:val="FirstParagraph"/>
      </w:pPr>
      <w:r>
        <w:t xml:space="preserve">Language → script mapping:</w:t>
      </w:r>
      <w:r>
        <w:t xml:space="preserve"> </w:t>
      </w:r>
      <w:r>
        <w:rPr>
          <w:rStyle w:val="VerbatimChar"/>
        </w:rPr>
        <w:t xml:space="preserve">ru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cyrillic</w:t>
      </w:r>
      <w:r>
        <w:t xml:space="preserve">,</w:t>
      </w:r>
      <w:r>
        <w:t xml:space="preserve"> </w:t>
      </w:r>
      <w:r>
        <w:rPr>
          <w:rStyle w:val="VerbatimChar"/>
        </w:rPr>
        <w:t xml:space="preserve">sr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latin</w:t>
      </w:r>
      <w:r>
        <w:t xml:space="preserve">.</w:t>
      </w:r>
    </w:p>
    <w:p>
      <w:pPr>
        <w:pStyle w:val="BodyText"/>
      </w:pPr>
      <w:r>
        <w:t xml:space="preserve">Exit status: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only on a real, engine-produced translation. On failure the</w:t>
      </w:r>
      <w:r>
        <w:t xml:space="preserve"> </w:t>
      </w:r>
      <w:r>
        <w:t xml:space="preserve">destination is</w:t>
      </w:r>
      <w:r>
        <w:t xml:space="preserve"> </w:t>
      </w:r>
      <w:r>
        <w:rPr>
          <w:b/>
          <w:bCs/>
        </w:rPr>
        <w:t xml:space="preserve">NOT written</w:t>
      </w:r>
      <w:r>
        <w:t xml:space="preserve"> </w:t>
      </w:r>
      <w:r>
        <w:t xml:space="preserve">and the script exits non-zero so callers detect it.</w:t>
      </w:r>
    </w:p>
    <w:bookmarkEnd w:id="11"/>
    <w:bookmarkStart w:id="12" w:name="provider-configuration"/>
    <w:p>
      <w:pPr>
        <w:pStyle w:val="Heading2"/>
      </w:pPr>
      <w:r>
        <w:t xml:space="preserve">Provider configuration</w:t>
      </w:r>
    </w:p>
    <w:p>
      <w:pPr>
        <w:pStyle w:val="FirstParagraph"/>
      </w:pPr>
      <w:r>
        <w:t xml:space="preserve">Routing is</w:t>
      </w:r>
      <w:r>
        <w:t xml:space="preserve"> </w:t>
      </w:r>
      <w:r>
        <w:rPr>
          <w:b/>
          <w:bCs/>
        </w:rPr>
        <w:t xml:space="preserve">explicit and recorded</w:t>
      </w:r>
      <w:r>
        <w:t xml:space="preserve"> </w:t>
      </w:r>
      <w:r>
        <w:t xml:space="preserve">— never implicit/defaulted in the dark.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HELIX_TRANSLATE_BIN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/Volumes/T7/Projects/helix_translate/build/unified-translator</w:t>
            </w:r>
          </w:p>
        </w:tc>
        <w:tc>
          <w:tcPr/>
          <w:p>
            <w:pPr>
              <w:pStyle w:val="Compact"/>
            </w:pPr>
            <w:r>
              <w:t xml:space="preserve">Path to the HelixTranslate</w:t>
            </w:r>
            <w:r>
              <w:t xml:space="preserve"> </w:t>
            </w:r>
            <w:r>
              <w:rPr>
                <w:rStyle w:val="VerbatimChar"/>
              </w:rPr>
              <w:t xml:space="preserve">unified-translator</w:t>
            </w:r>
            <w:r>
              <w:t xml:space="preserve"> </w:t>
            </w:r>
            <w:r>
              <w:t xml:space="preserve">engine binary (built from the HelixTranslate repo by the consuming project).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TRANSLATE_EVIDENCE_DIR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&lt;project&gt;/_tests/evidence/translate</w:t>
            </w:r>
          </w:p>
        </w:tc>
        <w:tc>
          <w:tcPr/>
          <w:p>
            <w:pPr>
              <w:pStyle w:val="Compact"/>
            </w:pPr>
            <w:r>
              <w:t xml:space="preserve">Where per-file run logs (evidence) are appended.</w:t>
            </w:r>
          </w:p>
        </w:tc>
      </w:tr>
    </w:tbl>
    <w:p>
      <w:pPr>
        <w:pStyle w:val="BodyText"/>
      </w:pPr>
      <w:r>
        <w:t xml:space="preserve">Canonical provider routing (in-script):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provider</w:t>
      </w:r>
      <w:r>
        <w:t xml:space="preserve"> </w:t>
      </w:r>
      <w:r>
        <w:rPr>
          <w:rStyle w:val="VerbatimChar"/>
        </w:rPr>
        <w:t xml:space="preserve">groq</w:t>
      </w:r>
      <w:r>
        <w:t xml:space="preserve">, model</w:t>
      </w:r>
      <w:r>
        <w:t xml:space="preserve"> </w:t>
      </w:r>
      <w:r>
        <w:rPr>
          <w:rStyle w:val="VerbatimChar"/>
        </w:rPr>
        <w:t xml:space="preserve">llama-3.3-70b-versatile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provider</w:t>
      </w:r>
      <w:r>
        <w:t xml:space="preserve"> </w:t>
      </w:r>
      <w:r>
        <w:rPr>
          <w:rStyle w:val="VerbatimChar"/>
        </w:rPr>
        <w:t xml:space="preserve">mistral</w:t>
      </w:r>
      <w:r>
        <w:t xml:space="preserve">, model</w:t>
      </w:r>
      <w:r>
        <w:t xml:space="preserve"> </w:t>
      </w:r>
      <w:r>
        <w:rPr>
          <w:rStyle w:val="VerbatimChar"/>
        </w:rPr>
        <w:t xml:space="preserve">mistral-large-latest</w:t>
      </w:r>
    </w:p>
    <w:p>
      <w:pPr>
        <w:pStyle w:val="Compact"/>
        <w:numPr>
          <w:ilvl w:val="0"/>
          <w:numId w:val="1001"/>
        </w:numPr>
      </w:pPr>
      <w:r>
        <w:t xml:space="preserve">On rate-limit / error: retry up to 3× with linear backoff, then fail over to the</w:t>
      </w:r>
      <w:r>
        <w:t xml:space="preserve"> </w:t>
      </w:r>
      <w:r>
        <w:t xml:space="preserve">fallback provider. The provider that actually produced the output is recorded in</w:t>
      </w:r>
      <w:r>
        <w:t xml:space="preserve"> </w:t>
      </w:r>
      <w:r>
        <w:t xml:space="preserve">the per-file log.</w:t>
      </w:r>
    </w:p>
    <w:p>
      <w:pPr>
        <w:pStyle w:val="FirstParagraph"/>
      </w:pPr>
      <w:r>
        <w:t xml:space="preserve">Any deviation from this canonical routing MUST be stated explicitly in configuration</w:t>
      </w:r>
      <w:r>
        <w:t xml:space="preserve"> </w:t>
      </w:r>
      <w:r>
        <w:t xml:space="preserve">and logged.</w:t>
      </w:r>
    </w:p>
    <w:bookmarkEnd w:id="12"/>
    <w:bookmarkStart w:id="13" w:name="hard-rules-114133"/>
    <w:p>
      <w:pPr>
        <w:pStyle w:val="Heading2"/>
      </w:pPr>
      <w:r>
        <w:t xml:space="preserve">Hard rules (§11.4.133)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hand-translation.</w:t>
      </w:r>
      <w:r>
        <w:t xml:space="preserve"> </w:t>
      </w:r>
      <w:r>
        <w:t xml:space="preserve">The engine is the single source of every translated string.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other engines.</w:t>
      </w:r>
      <w:r>
        <w:t xml:space="preserve"> </w:t>
      </w:r>
      <w:r>
        <w:t xml:space="preserve">No Google Translate, DeepL, raw ChatGPT/Claude prompting, OS</w:t>
      </w:r>
      <w:r>
        <w:t xml:space="preserve"> </w:t>
      </w:r>
      <w:r>
        <w:t xml:space="preserve">translation APIs, or library i18n auto-translators. Exactly one engine: HelixTranslate.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silent fallback.</w:t>
      </w:r>
      <w:r>
        <w:t xml:space="preserve"> </w:t>
      </w:r>
      <w:r>
        <w:t xml:space="preserve">No quiet substitution of the source string, no empty/partial</w:t>
      </w:r>
      <w:r>
        <w:t xml:space="preserve"> </w:t>
      </w:r>
      <w:r>
        <w:t xml:space="preserve">output passed off as a translation, no swallowed engine error, no "absence-of-error"</w:t>
      </w:r>
      <w:r>
        <w:t xml:space="preserve"> </w:t>
      </w:r>
      <w:r>
        <w:t xml:space="preserve">PASS. On exhaustion of all providers the pipeline FAILS LOUD (non-zero exit,</w:t>
      </w:r>
      <w:r>
        <w:t xml:space="preserve"> </w:t>
      </w:r>
      <w:r>
        <w:t xml:space="preserve">destination not written). Provider-to-provider failover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HelixTranslate</w:t>
      </w:r>
      <w:r>
        <w:t xml:space="preserve"> </w:t>
      </w:r>
      <w:r>
        <w:t xml:space="preserve">(primary → fallback, with logged retries) is permitted and is NOT a silent fallback;</w:t>
      </w:r>
      <w:r>
        <w:t xml:space="preserve"> </w:t>
      </w:r>
      <w:r>
        <w:t xml:space="preserve">falling back to any non-HelixTranslate source is forbidden.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Mandatory validation.</w:t>
      </w:r>
      <w:r>
        <w:t xml:space="preserve"> </w:t>
      </w:r>
      <w:r>
        <w:t xml:space="preserve">Every generated translation MUST be validated for accuracy</w:t>
      </w:r>
      <w:r>
        <w:t xml:space="preserve"> </w:t>
      </w:r>
      <w:r>
        <w:t xml:space="preserve">with real (physical) captured evidence (per §11.4.5 / §11.4.69 / §11.4.107). The</w:t>
      </w:r>
      <w:r>
        <w:t xml:space="preserve"> </w:t>
      </w:r>
      <w:r>
        <w:t xml:space="preserve">per-file run log (provider used, byte counts, retries, success/failure) is the</w:t>
      </w:r>
      <w:r>
        <w:t xml:space="preserve"> </w:t>
      </w:r>
      <w:r>
        <w:t xml:space="preserve">evidence artifact. An unvalidated or unevidenced translation is treated as ABSENT.</w:t>
      </w:r>
    </w:p>
    <w:bookmarkEnd w:id="13"/>
    <w:bookmarkStart w:id="14" w:name="inherited-standard"/>
    <w:p>
      <w:pPr>
        <w:pStyle w:val="Heading2"/>
      </w:pPr>
      <w:r>
        <w:t xml:space="preserve">Inherited standard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inherited</w:t>
      </w:r>
      <w:r>
        <w:t xml:space="preserve"> </w:t>
      </w:r>
      <w:r>
        <w:t xml:space="preserve">standard. Consuming projects MUST restate + cite §11.4.133</w:t>
      </w:r>
      <w:r>
        <w:t xml:space="preserve"> </w:t>
      </w:r>
      <w:r>
        <w:t xml:space="preserve">via §11.4.35 inheritance, supply their own source files / target languages, and build</w:t>
      </w:r>
      <w:r>
        <w:t xml:space="preserve"> </w:t>
      </w:r>
      <w:r>
        <w:t xml:space="preserve">the HelixTranslate engine from</w:t>
      </w:r>
      <w:r>
        <w:t xml:space="preserve"> </w:t>
      </w:r>
      <w:r>
        <w:rPr>
          <w:rStyle w:val="VerbatimChar"/>
        </w:rPr>
        <w:t xml:space="preserve">git@github.com:HelixDevelopment/HelixTranslate.git</w:t>
      </w:r>
      <w:r>
        <w:t xml:space="preserve">. Non-compliance is a release</w:t>
      </w:r>
      <w:r>
        <w:t xml:space="preserve"> </w:t>
      </w:r>
      <w:r>
        <w:t xml:space="preserve">blocker. No escape hatch — no</w:t>
      </w:r>
      <w:r>
        <w:t xml:space="preserve"> </w:t>
      </w:r>
      <w:r>
        <w:rPr>
          <w:rStyle w:val="VerbatimChar"/>
        </w:rPr>
        <w:t xml:space="preserve">--allow-hand-translation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--other-engine-OK</w:t>
      </w:r>
      <w:r>
        <w:t xml:space="preserve">,</w:t>
      </w:r>
      <w:r>
        <w:t xml:space="preserve"> </w:t>
      </w:r>
      <w:r>
        <w:rPr>
          <w:rStyle w:val="VerbatimChar"/>
        </w:rPr>
        <w:t xml:space="preserve">--skip-translation-validation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--silent-fallback</w:t>
      </w:r>
      <w:r>
        <w:t xml:space="preserve"> </w:t>
      </w:r>
      <w:r>
        <w:t xml:space="preserve">flag exists.</w:t>
      </w:r>
    </w:p>
    <w:p>
      <w:pPr>
        <w:pStyle w:val="BodyText"/>
      </w:pPr>
      <w:r>
        <w:t xml:space="preserve">See also:</w:t>
      </w:r>
      <w:r>
        <w:t xml:space="preserve"> </w:t>
      </w:r>
      <w:r>
        <w:rPr>
          <w:rStyle w:val="VerbatimChar"/>
        </w:rPr>
        <w:t xml:space="preserve">docs/translations.md</w:t>
      </w:r>
      <w:r>
        <w:t xml:space="preserve"> </w:t>
      </w:r>
      <w:r>
        <w:t xml:space="preserve">and Constitution.md §11.4.133.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2026-08-10T11:00:06Z</dcterms:created>
  <dcterms:modified xsi:type="dcterms:W3CDTF">2026-08-10T11:00:06Z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