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ction-prefix-system-114140"/>
    <w:p>
      <w:pPr>
        <w:pStyle w:val="Heading1"/>
      </w:pPr>
      <w:r>
        <w:t xml:space="preserve">Action Prefix System (§11.4.140)</w:t>
      </w:r>
    </w:p>
    <w:p>
      <w:pPr>
        <w:pStyle w:val="FirstParagraph"/>
      </w:pPr>
      <w:r>
        <w:t xml:space="preserve">A prompt whose</w:t>
      </w:r>
      <w:r>
        <w:t xml:space="preserve"> </w:t>
      </w:r>
      <w:r>
        <w:rPr>
          <w:b/>
          <w:bCs/>
        </w:rPr>
        <w:t xml:space="preserve">first non-blank line</w:t>
      </w:r>
      <w:r>
        <w:t xml:space="preserve"> </w:t>
      </w:r>
      <w:r>
        <w:t xml:space="preserve">starts with a registered action token is</w:t>
      </w:r>
      <w:r>
        <w:t xml:space="preserve"> </w:t>
      </w:r>
      <w:r>
        <w:t xml:space="preserve">not an ordinary prompt: the token is</w:t>
      </w:r>
      <w:r>
        <w:t xml:space="preserve"> </w:t>
      </w:r>
      <w:r>
        <w:rPr>
          <w:b/>
          <w:bCs/>
        </w:rPr>
        <w:t xml:space="preserve">replaced</w:t>
      </w:r>
      <w:r>
        <w:t xml:space="preserve"> </w:t>
      </w:r>
      <w:r>
        <w:t xml:space="preserve">by that action's registered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text, the action's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apply, and the remainder of the prompt is</w:t>
      </w:r>
      <w:r>
        <w:t xml:space="preserve"> </w:t>
      </w:r>
      <w:r>
        <w:t xml:space="preserve">the actual task, executed under the expanded instruction.</w:t>
      </w:r>
    </w:p>
    <w:p>
      <w:pPr>
        <w:pStyle w:val="BodyText"/>
      </w:pPr>
      <w:r>
        <w:t xml:space="preserve">The registry —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 </w:t>
      </w:r>
      <w:r>
        <w:t xml:space="preserve">(override with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) — 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. It is DATA:</w:t>
      </w:r>
      <w:r>
        <w:t xml:space="preserve"> </w:t>
      </w:r>
      <w:r>
        <w:t xml:space="preserve">adding an action is a registry row, never a code change.</w:t>
      </w:r>
    </w:p>
    <w:bookmarkStart w:id="10" w:name="the-six-equivalent-forms"/>
    <w:p>
      <w:pPr>
        <w:pStyle w:val="Heading2"/>
      </w:pPr>
      <w:r>
        <w:t xml:space="preserve">The six equivalent forms</w:t>
      </w:r>
    </w:p>
    <w:p>
      <w:pPr>
        <w:pStyle w:val="FirstParagraph"/>
      </w:pPr>
      <w:r>
        <w:t xml:space="preserve">All six resolve to the SAME action, the SAME expansion, the SAME execution: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refactor the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PREFIX::ACTION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DEFAULT::BACKGROUND :: refactor the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/ACTION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 refactor the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/PREFIX::ACTION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/DEFAULT::BACKGROUND refactor the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 ---&gt;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---&gt; refactor the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ACTION: &lt;rest&gt;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single colon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BUG: subtitles render one frame late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PREFIX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namespace</w:t>
      </w:r>
      <w:r>
        <w:t xml:space="preserve">; the reserved default namespace is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 An</w:t>
      </w:r>
      <w:r>
        <w:t xml:space="preserve"> </w:t>
      </w:r>
      <w:r>
        <w:t xml:space="preserve">action runs with or without it.</w:t>
      </w:r>
    </w:p>
    <w:p>
      <w:pPr>
        <w:pStyle w:val="BodyText"/>
      </w:pPr>
      <w:r>
        <w:rPr>
          <w:b/>
          <w:bCs/>
        </w:rPr>
        <w:t xml:space="preserve">Form 6 is the one most people type naturally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BUG: ...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TASK: ...</w:t>
      </w:r>
      <w:r>
        <w:t xml:space="preserve">) — a</w:t>
      </w:r>
      <w:r>
        <w:t xml:space="preserve"> </w:t>
      </w:r>
      <w:r>
        <w:t xml:space="preserve">colon and exactly one space, no space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colon.</w:t>
      </w:r>
    </w:p>
    <w:bookmarkStart w:id="9" w:name="X00aae11956604b8c4f4ca950524c3c6d153293d"/>
    <w:p>
      <w:pPr>
        <w:pStyle w:val="Heading3"/>
      </w:pPr>
      <w:r>
        <w:t xml:space="preserve">Form 6 is REGISTERED-ACTION-ONLY by construction</w:t>
      </w:r>
    </w:p>
    <w:p>
      <w:pPr>
        <w:pStyle w:val="FirstParagraph"/>
      </w:pPr>
      <w:r>
        <w:t xml:space="preserve">Unlike the other five, an unknown single-colon token is a</w:t>
      </w:r>
      <w:r>
        <w:t xml:space="preserve"> </w:t>
      </w:r>
      <w:r>
        <w:rPr>
          <w:b/>
          <w:bCs/>
        </w:rPr>
        <w:t xml:space="preserve">silent no-op</w:t>
      </w:r>
      <w:r>
        <w:t xml:space="preserve"> </w:t>
      </w:r>
      <w:r>
        <w:t xml:space="preserve">— it</w:t>
      </w:r>
      <w:r>
        <w:t xml:space="preserve"> </w:t>
      </w:r>
      <w:r>
        <w:t xml:space="preserve">never asks for clarification and never resolves to a sub-system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single_colon_registered_only: true</w:t>
      </w:r>
      <w:r>
        <w:t xml:space="preserve">). This is deliberate: ordinary prose like</w:t>
      </w:r>
      <w:r>
        <w:t xml:space="preserve"> </w:t>
      </w:r>
      <w:r>
        <w:rPr>
          <w:rStyle w:val="VerbatimChar"/>
        </w:rPr>
        <w:t xml:space="preserve">TODO: fix this later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NOTE: see below</w:t>
      </w:r>
      <w:r>
        <w:t xml:space="preserve">, or</w:t>
      </w:r>
      <w:r>
        <w:t xml:space="preserve"> </w:t>
      </w:r>
      <w:r>
        <w:rPr>
          <w:rStyle w:val="VerbatimChar"/>
        </w:rPr>
        <w:t xml:space="preserve">WARNING: slow path</w:t>
      </w:r>
      <w:r>
        <w:t xml:space="preserve"> </w:t>
      </w:r>
      <w:r>
        <w:t xml:space="preserve">MUST NOT</w:t>
      </w:r>
      <w:r>
        <w:t xml:space="preserve"> </w:t>
      </w:r>
      <w:r>
        <w:t xml:space="preserve">trigger a directive or a clarifying question. Only a token that is</w:t>
      </w:r>
      <w:r>
        <w:t xml:space="preserve"> </w:t>
      </w:r>
      <w:r>
        <w:rPr>
          <w:i/>
          <w:iCs/>
        </w:rPr>
        <w:t xml:space="preserve">already</w:t>
      </w:r>
      <w:r>
        <w:rPr>
          <w:i/>
          <w:iCs/>
        </w:rPr>
        <w:t xml:space="preserve"> </w:t>
      </w:r>
      <w:r>
        <w:rPr>
          <w:i/>
          <w:iCs/>
        </w:rPr>
        <w:t xml:space="preserve">registered</w:t>
      </w:r>
      <w:r>
        <w:t xml:space="preserve"> </w:t>
      </w:r>
      <w:r>
        <w:t xml:space="preserve">activates in form 6.</w:t>
      </w:r>
    </w:p>
    <w:bookmarkEnd w:id="9"/>
    <w:bookmarkEnd w:id="10"/>
    <w:bookmarkStart w:id="11" w:name="grammar-all-of-these-hold"/>
    <w:p>
      <w:pPr>
        <w:pStyle w:val="Heading2"/>
      </w:pPr>
      <w:r>
        <w:t xml:space="preserve">Grammar (all of these hold)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Anchored to the first non-blank line only.</w:t>
      </w:r>
      <w:r>
        <w:t xml:space="preserve"> </w:t>
      </w:r>
      <w:r>
        <w:t xml:space="preserve">A token mid-prose NEVER matches.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UPPERCASE only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[A-Z][A-Z0-9_]*</w:t>
      </w:r>
      <w:r>
        <w:t xml:space="preserve">. Lowercase never matches. (File and</w:t>
      </w:r>
      <w:r>
        <w:t xml:space="preserve"> </w:t>
      </w:r>
      <w:r>
        <w:t xml:space="preserve">directory names stay lowercase snake_case per §11.4.29 — the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is upper.)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Namespace separator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::</w:t>
      </w:r>
      <w:r>
        <w:rPr>
          <w:b/>
          <w:bCs/>
        </w:rPr>
        <w:t xml:space="preserve"> </w:t>
      </w:r>
      <w:r>
        <w:rPr>
          <w:b/>
          <w:bCs/>
        </w:rPr>
        <w:t xml:space="preserve">carries NO surrounding spaces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PREFIX::ACTION</w:t>
      </w:r>
      <w:r>
        <w:t xml:space="preserve">),</w:t>
      </w:r>
      <w:r>
        <w:t xml:space="preserve"> </w:t>
      </w:r>
      <w:r>
        <w:t xml:space="preserve">which is what distinguishes it from the</w:t>
      </w:r>
      <w:r>
        <w:t xml:space="preserve"> </w:t>
      </w:r>
      <w:r>
        <w:rPr>
          <w:b/>
          <w:bCs/>
        </w:rPr>
        <w:t xml:space="preserve">body separator</w:t>
      </w:r>
      <w:r>
        <w:t xml:space="preserve"> </w:t>
      </w:r>
      <w:r>
        <w:rPr>
          <w:rStyle w:val="VerbatimChar"/>
        </w:rPr>
        <w:t xml:space="preserve">" :: "</w:t>
      </w:r>
      <w:r>
        <w:t xml:space="preserve"> </w:t>
      </w:r>
      <w:r>
        <w:t xml:space="preserve">(exactly</w:t>
      </w:r>
      <w:r>
        <w:t xml:space="preserve"> </w:t>
      </w:r>
      <w:r>
        <w:t xml:space="preserve">one ASCII space each side). That spacing rule is why C++</w:t>
      </w:r>
      <w:r>
        <w:t xml:space="preserve"> </w:t>
      </w:r>
      <w:r>
        <w:rPr>
          <w:rStyle w:val="VerbatimChar"/>
        </w:rPr>
        <w:t xml:space="preserve">Foo::Bar</w:t>
      </w:r>
      <w:r>
        <w:t xml:space="preserve">, YAML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, and URLs never false-trigger.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Body separators:</w:t>
      </w:r>
      <w:r>
        <w:t xml:space="preserve"> </w:t>
      </w:r>
      <w:r>
        <w:rPr>
          <w:rStyle w:val="VerbatimChar"/>
        </w:rPr>
        <w:t xml:space="preserve">" :: "</w:t>
      </w:r>
      <w:r>
        <w:t xml:space="preserve"> </w:t>
      </w:r>
      <w:r>
        <w:t xml:space="preserve">(forms 1/2),</w:t>
      </w:r>
      <w:r>
        <w:t xml:space="preserve"> </w:t>
      </w:r>
      <w:r>
        <w:rPr>
          <w:rStyle w:val="VerbatimChar"/>
        </w:rPr>
        <w:t xml:space="preserve">" ---&gt; "</w:t>
      </w:r>
      <w:r>
        <w:t xml:space="preserve"> </w:t>
      </w:r>
      <w:r>
        <w:t xml:space="preserve">(form 5), one space</w:t>
      </w:r>
      <w:r>
        <w:t xml:space="preserve"> </w:t>
      </w:r>
      <w:r>
        <w:t xml:space="preserve">(forms 3/4), and</w:t>
      </w:r>
      <w:r>
        <w:t xml:space="preserve"> </w:t>
      </w:r>
      <w:r>
        <w:rPr>
          <w:rStyle w:val="VerbatimChar"/>
        </w:rPr>
        <w:t xml:space="preserve">": "</w:t>
      </w:r>
      <w:r>
        <w:t xml:space="preserve"> </w:t>
      </w:r>
      <w:r>
        <w:t xml:space="preserve">— colon + exactly one space,</w:t>
      </w:r>
      <w:r>
        <w:t xml:space="preserve"> </w:t>
      </w:r>
      <w:r>
        <w:rPr>
          <w:b/>
          <w:bCs/>
        </w:rPr>
        <w:t xml:space="preserve">no space before the</w:t>
      </w:r>
      <w:r>
        <w:rPr>
          <w:b/>
          <w:bCs/>
        </w:rPr>
        <w:t xml:space="preserve"> </w:t>
      </w:r>
      <w:r>
        <w:rPr>
          <w:b/>
          <w:bCs/>
        </w:rPr>
        <w:t xml:space="preserve">colon</w:t>
      </w:r>
      <w:r>
        <w:t xml:space="preserve"> </w:t>
      </w:r>
      <w:r>
        <w:t xml:space="preserve">— (form 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Stacked prefixes</w:t>
      </w:r>
      <w:r>
        <w:t xml:space="preserve"> </w:t>
      </w:r>
      <w:r>
        <w:t xml:space="preserve">apply outer-to-inner, left-to-right:</w:t>
      </w:r>
      <w:r>
        <w:t xml:space="preserve"> </w:t>
      </w:r>
      <w:r>
        <w:rPr>
          <w:rStyle w:val="VerbatimChar"/>
        </w:rPr>
        <w:t xml:space="preserve">A :: B :: rest</w:t>
      </w:r>
      <w:r>
        <w:t xml:space="preserve"> </w:t>
      </w:r>
      <w:r>
        <w:t xml:space="preserve">expands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, re-scans, expands</w:t>
      </w:r>
      <w:r>
        <w:t xml:space="preserve"> </w:t>
      </w:r>
      <w:r>
        <w:rPr>
          <w:rStyle w:val="VerbatimChar"/>
        </w:rPr>
        <w:t xml:space="preserve">B</w:t>
      </w:r>
      <w:r>
        <w:t xml:space="preserve">, and the residual is the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Escape with a leading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\BACKGROUND :: x</w:t>
      </w:r>
      <w:r>
        <w:t xml:space="preserve">,</w:t>
      </w:r>
      <w:r>
        <w:t xml:space="preserve"> </w:t>
      </w:r>
      <w:r>
        <w:rPr>
          <w:rStyle w:val="VerbatimChar"/>
        </w:rPr>
        <w:t xml:space="preserve">\BACKGROUND ---&gt; x</w:t>
      </w:r>
      <w:r>
        <w:t xml:space="preserve">,</w:t>
      </w:r>
      <w:r>
        <w:t xml:space="preserve"> </w:t>
      </w:r>
      <w:r>
        <w:rPr>
          <w:rStyle w:val="VerbatimChar"/>
        </w:rPr>
        <w:t xml:space="preserve">\/BACKGROUND x</w:t>
      </w:r>
      <w:r>
        <w:t xml:space="preserve"> </w:t>
      </w:r>
      <w:r>
        <w:t xml:space="preserve">are literal: strip the backslash, NO expansion. Use this to</w:t>
      </w:r>
      <w:r>
        <w:t xml:space="preserve"> </w:t>
      </w:r>
      <w:r>
        <w:rPr>
          <w:i/>
          <w:iCs/>
        </w:rPr>
        <w:t xml:space="preserve">discuss</w:t>
      </w:r>
      <w:r>
        <w:t xml:space="preserve"> </w:t>
      </w:r>
      <w:r>
        <w:t xml:space="preserve">an action without invoking it.</w:t>
      </w:r>
    </w:p>
    <w:bookmarkEnd w:id="11"/>
    <w:bookmarkStart w:id="12" w:name="X7e835fa26591ddc254661c35e4a6d029d15aa49"/>
    <w:p>
      <w:pPr>
        <w:pStyle w:val="Heading2"/>
      </w:pPr>
      <w:r>
        <w:t xml:space="preserve">The conflict rule — never silently shadow a host command</w:t>
      </w:r>
    </w:p>
    <w:p>
      <w:pPr>
        <w:pStyle w:val="FirstParagraph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/ACTION</w:t>
      </w:r>
      <w:r>
        <w:t xml:space="preserve"> </w:t>
      </w:r>
      <w:r>
        <w:t xml:space="preserve">(form 3) is honored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it does not collide with a</w:t>
      </w:r>
      <w:r>
        <w:t xml:space="preserve"> </w:t>
      </w:r>
      <w:r>
        <w:t xml:space="preserve">built-in/host slash command. Collisions are declared as data in the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slash_bare: auto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slash_conflicts: [...]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/PREFIX::ACTION</w:t>
      </w:r>
      <w:r>
        <w:rPr>
          <w:b/>
          <w:bCs/>
        </w:rPr>
        <w:t xml:space="preserve"> </w:t>
      </w:r>
      <w:r>
        <w:rPr>
          <w:b/>
          <w:bCs/>
        </w:rPr>
        <w:t xml:space="preserve">(form 4) is ALWAYS unambiguous</w:t>
      </w:r>
      <w:r>
        <w:t xml:space="preserve"> </w:t>
      </w:r>
      <w:r>
        <w:t xml:space="preserve">and always honored.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Claude Code</w:t>
      </w:r>
      <w:r>
        <w:t xml:space="preserve">, plugin namespacing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form-4 escape:</w:t>
      </w:r>
      <w:r>
        <w:t xml:space="preserve"> </w:t>
      </w:r>
      <w:r>
        <w:rPr>
          <w:rStyle w:val="VerbatimChar"/>
          <w:b/>
          <w:bCs/>
        </w:rPr>
        <w:t xml:space="preserve">/helix:&lt;name&gt;</w:t>
      </w:r>
      <w:r>
        <w:t xml:space="preserve"> </w:t>
      </w:r>
      <w:r>
        <w:t xml:space="preserve">always resolves to the action.</w:t>
      </w:r>
      <w:r>
        <w:t xml:space="preserve"> </w:t>
      </w:r>
      <w:r>
        <w:t xml:space="preserve">A third, collision-free form works on every agent:</w:t>
      </w:r>
      <w:r>
        <w:t xml:space="preserve"> </w:t>
      </w:r>
      <w:r>
        <w:rPr>
          <w:rStyle w:val="VerbatimChar"/>
          <w:b/>
          <w:bCs/>
        </w:rPr>
        <w:t xml:space="preserve">/default-&lt;name&gt;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Worked example: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slash_conflicts: [bug]</w:t>
      </w:r>
      <w:r>
        <w:t xml:space="preserve"> </w:t>
      </w:r>
      <w:r>
        <w:t xml:space="preserve">because Claude Code</w:t>
      </w:r>
      <w:r>
        <w:t xml:space="preserve"> </w:t>
      </w:r>
      <w:r>
        <w:t xml:space="preserve">ships a built-in</w:t>
      </w:r>
      <w:r>
        <w:t xml:space="preserve"> </w:t>
      </w:r>
      <w:r>
        <w:rPr>
          <w:rStyle w:val="VerbatimChar"/>
        </w:rPr>
        <w:t xml:space="preserve">/bug</w:t>
      </w:r>
      <w:r>
        <w:t xml:space="preserve">. So the bare</w:t>
      </w:r>
      <w:r>
        <w:t xml:space="preserve"> </w:t>
      </w:r>
      <w:r>
        <w:rPr>
          <w:rStyle w:val="VerbatimChar"/>
        </w:rPr>
        <w:t xml:space="preserve">/bug</w:t>
      </w:r>
      <w:r>
        <w:t xml:space="preserve"> </w:t>
      </w:r>
      <w:r>
        <w:t xml:space="preserve">goes to the</w:t>
      </w:r>
      <w:r>
        <w:t xml:space="preserve"> </w:t>
      </w:r>
      <w:r>
        <w:rPr>
          <w:b/>
          <w:bCs/>
        </w:rPr>
        <w:t xml:space="preserve">host built-in</w:t>
      </w:r>
      <w:r>
        <w:t xml:space="preserve">, and</w:t>
      </w:r>
      <w:r>
        <w:t xml:space="preserve"> </w:t>
      </w:r>
      <w:r>
        <w:t xml:space="preserve">the action is invoked as</w:t>
      </w:r>
      <w:r>
        <w:t xml:space="preserve"> </w:t>
      </w:r>
      <w:r>
        <w:rPr>
          <w:rStyle w:val="VerbatimChar"/>
          <w:b/>
          <w:bCs/>
        </w:rPr>
        <w:t xml:space="preserve">/helix:bug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  <w:b/>
          <w:bCs/>
        </w:rPr>
        <w:t xml:space="preserve">/default-bug</w:t>
      </w:r>
      <w:r>
        <w:t xml:space="preserve">. The plugin</w:t>
      </w:r>
      <w:r>
        <w:t xml:space="preserve"> </w:t>
      </w:r>
      <w:r>
        <w:t xml:space="preserve">does not fight the host and does not hide it.</w:t>
      </w:r>
    </w:p>
    <w:bookmarkEnd w:id="12"/>
    <w:bookmarkStart w:id="13" w:name="the-iron-rule-for-unknown-tokens-1146"/>
    <w:p>
      <w:pPr>
        <w:pStyle w:val="Heading2"/>
      </w:pPr>
      <w:r>
        <w:t xml:space="preserve">The iron rule for unknown tokens (§11.4.6)</w:t>
      </w:r>
    </w:p>
    <w:p>
      <w:pPr>
        <w:pStyle w:val="FirstParagraph"/>
      </w:pPr>
      <w:r>
        <w:t xml:space="preserve">A token that matches the grammar shape but is</w:t>
      </w:r>
      <w:r>
        <w:t xml:space="preserve"> </w:t>
      </w:r>
      <w:r>
        <w:rPr>
          <w:b/>
          <w:bCs/>
        </w:rPr>
        <w:t xml:space="preserve">NOT registered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silently expanded. In forms 1–5, do exactly one of:</w:t>
      </w:r>
    </w:p>
    <w:p>
      <w:pPr>
        <w:pStyle w:val="Compact"/>
        <w:numPr>
          <w:ilvl w:val="0"/>
          <w:numId w:val="1003"/>
        </w:numPr>
      </w:pPr>
      <w:r>
        <w:t xml:space="preserve">Ask which registered action was meant (§11.4.66 / §11.4.105), or</w:t>
      </w:r>
    </w:p>
    <w:p>
      <w:pPr>
        <w:pStyle w:val="Compact"/>
        <w:numPr>
          <w:ilvl w:val="0"/>
          <w:numId w:val="1003"/>
        </w:numPr>
      </w:pPr>
      <w:r>
        <w:t xml:space="preserve">Treat the line literally as an ordinary prompt.</w:t>
      </w:r>
    </w:p>
    <w:p>
      <w:pPr>
        <w:pStyle w:val="FirstParagraph"/>
      </w:pPr>
      <w:r>
        <w:rPr>
          <w:b/>
          <w:bCs/>
        </w:rPr>
        <w:t xml:space="preserve">Exception — form 6 only:</w:t>
      </w:r>
      <w:r>
        <w:t xml:space="preserve"> </w:t>
      </w:r>
      <w:r>
        <w:t xml:space="preserve">an unregistered single-colon token is a</w:t>
      </w:r>
      <w:r>
        <w:t xml:space="preserve"> </w:t>
      </w:r>
      <w:r>
        <w:rPr>
          <w:b/>
          <w:bCs/>
        </w:rPr>
        <w:t xml:space="preserve">silent</w:t>
      </w:r>
      <w:r>
        <w:rPr>
          <w:b/>
          <w:bCs/>
        </w:rP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by design (see above).</w:t>
      </w:r>
      <w:r>
        <w:t xml:space="preserve"> </w:t>
      </w:r>
      <w:r>
        <w:rPr>
          <w:rStyle w:val="VerbatimChar"/>
        </w:rPr>
        <w:t xml:space="preserve">TODO: ...</w:t>
      </w:r>
      <w:r>
        <w:t xml:space="preserve"> </w:t>
      </w:r>
      <w:r>
        <w:t xml:space="preserve">must never provoke a question.</w:t>
      </w:r>
    </w:p>
    <w:p>
      <w:pPr>
        <w:pStyle w:val="BodyText"/>
      </w:pPr>
      <w:r>
        <w:rPr>
          <w:b/>
          <w:bCs/>
        </w:rPr>
        <w:t xml:space="preserve">Never invent an expansion.</w:t>
      </w:r>
      <w:r>
        <w:t xml:space="preserve"> </w:t>
      </w:r>
      <w:r>
        <w:t xml:space="preserve">Inventing one is a §11.4.6 no-guessing violation.</w:t>
      </w:r>
      <w:r>
        <w:t xml:space="preserve"> </w:t>
      </w:r>
      <w:r>
        <w:t xml:space="preserve">A prompt that does not satisfy the grammar is an ordinary prompt — the system is</w:t>
      </w:r>
      <w:r>
        <w:t xml:space="preserve"> </w:t>
      </w:r>
      <w:r>
        <w:t xml:space="preserve">a silent no-op, which is the correct behaviour.</w:t>
      </w:r>
    </w:p>
    <w:bookmarkEnd w:id="13"/>
    <w:bookmarkStart w:id="14" w:name="sub-system-shortcuts"/>
    <w:p>
      <w:pPr>
        <w:pStyle w:val="Heading2"/>
      </w:pPr>
      <w:r>
        <w:t xml:space="preserve">Sub-system shortcuts</w:t>
      </w:r>
    </w:p>
    <w:p>
      <w:pPr>
        <w:pStyle w:val="FirstParagraph"/>
      </w:pPr>
      <w:r>
        <w:t xml:space="preserve">A grammar-shaped UPPERCASE token that is not a</w:t>
      </w:r>
      <w:r>
        <w:t xml:space="preserve"> </w:t>
      </w:r>
      <w:r>
        <w:rPr>
          <w:i/>
          <w:iCs/>
        </w:rPr>
        <w:t xml:space="preserve">behavioral</w:t>
      </w:r>
      <w:r>
        <w:t xml:space="preserve"> </w:t>
      </w:r>
      <w:r>
        <w:t xml:space="preserve">action MAY name an</w:t>
      </w:r>
      <w:r>
        <w:t xml:space="preserve"> </w:t>
      </w:r>
      <w:r>
        <w:t xml:space="preserve">incorporated sub-system/submodule (from the registry</w:t>
      </w:r>
      <w:r>
        <w:t xml:space="preserve"> </w:t>
      </w:r>
      <w:r>
        <w:rPr>
          <w:rStyle w:val="VerbatimChar"/>
        </w:rPr>
        <w:t xml:space="preserve">subsystems:</w:t>
      </w:r>
      <w:r>
        <w:t xml:space="preserve"> </w:t>
      </w:r>
      <w:r>
        <w:t xml:space="preserve">catalogue, or</w:t>
      </w:r>
      <w:r>
        <w:t xml:space="preserve"> </w:t>
      </w:r>
      <w:r>
        <w:t xml:space="preserve">auto-derived by recursive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discovery from the invoking project's</w:t>
      </w:r>
      <w:r>
        <w:t xml:space="preserve"> </w:t>
      </w:r>
      <w:r>
        <w:t xml:space="preserve">root). It expands to a</w:t>
      </w:r>
      <w:r>
        <w:t xml:space="preserve"> </w:t>
      </w:r>
      <w:r>
        <w:rPr>
          <w:b/>
          <w:bCs/>
        </w:rPr>
        <w:t xml:space="preserve">sub-system context injection</w:t>
      </w:r>
      <w:r>
        <w:t xml:space="preserve"> </w:t>
      </w:r>
      <w:r>
        <w:t xml:space="preserve">(repository + org +</w:t>
      </w:r>
      <w:r>
        <w:t xml:space="preserve"> </w:t>
      </w:r>
      <w:r>
        <w:t xml:space="preserve">checkout location + the §11.4.28 decoupling/equal-codebase rules + §11.4.37</w:t>
      </w:r>
      <w:r>
        <w:t xml:space="preserve"> </w:t>
      </w:r>
      <w:r>
        <w:t xml:space="preserve">fetch-first + §11.4.113 no-force-push), and the remainder is the task on that</w:t>
      </w:r>
      <w:r>
        <w:t xml:space="preserve"> </w:t>
      </w:r>
      <w:r>
        <w:t xml:space="preserve">sub-system. A behavioral</w:t>
      </w:r>
      <w:r>
        <w:t xml:space="preserve"> </w:t>
      </w:r>
      <w:r>
        <w:rPr>
          <w:b/>
          <w:bCs/>
        </w:rPr>
        <w:t xml:space="preserve">action always wins</w:t>
      </w:r>
      <w:r>
        <w:t xml:space="preserve"> </w:t>
      </w:r>
      <w:r>
        <w:t xml:space="preserve">a token collision. An</w:t>
      </w:r>
      <w:r>
        <w:t xml:space="preserve"> </w:t>
      </w:r>
      <w:r>
        <w:rPr>
          <w:b/>
          <w:bCs/>
        </w:rPr>
        <w:t xml:space="preserve">ambiguous</w:t>
      </w:r>
      <w:r>
        <w:t xml:space="preserve"> </w:t>
      </w:r>
      <w:r>
        <w:t xml:space="preserve">token (resolving to &gt;1 sub-system) is DROPPED → falls through to ASK.</w:t>
      </w:r>
    </w:p>
    <w:bookmarkEnd w:id="14"/>
    <w:bookmarkStart w:id="15" w:name="adding-a-new-action"/>
    <w:p>
      <w:pPr>
        <w:pStyle w:val="Heading2"/>
      </w:pPr>
      <w:r>
        <w:t xml:space="preserve">Adding a new action</w:t>
      </w:r>
    </w:p>
    <w:p>
      <w:pPr>
        <w:pStyle w:val="Compact"/>
        <w:numPr>
          <w:ilvl w:val="0"/>
          <w:numId w:val="1004"/>
        </w:numPr>
      </w:pPr>
      <w:r>
        <w:t xml:space="preserve">Add one row under</w:t>
      </w:r>
      <w:r>
        <w:t xml:space="preserve"> </w:t>
      </w:r>
      <w:r>
        <w:rPr>
          <w:rStyle w:val="VerbatimChar"/>
        </w:rPr>
        <w:t xml:space="preserve">actions: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slash_bare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slash_conflicts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bash constitution/scripts/generate_agent_prefix_commands.sh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Every agent's slash command appears: Claude Code plugin command,</w:t>
      </w:r>
      <w:r>
        <w:t xml:space="preserve"> </w:t>
      </w:r>
      <w:r>
        <w:t xml:space="preserve">Gemini/Qwen</w:t>
      </w:r>
      <w:r>
        <w:t xml:space="preserve"> </w:t>
      </w:r>
      <w:r>
        <w:rPr>
          <w:rStyle w:val="VerbatimChar"/>
        </w:rPr>
        <w:t xml:space="preserve">.toml</w:t>
      </w:r>
      <w:r>
        <w:t xml:space="preserve">, Codex prompt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  <w:r>
        <w:t xml:space="preserve"> </w:t>
      </w:r>
      <w:r>
        <w:rPr>
          <w:b/>
          <w:bCs/>
        </w:rPr>
        <w:t xml:space="preserve">No code changes.</w:t>
      </w:r>
    </w:p>
    <w:p>
      <w:pPr>
        <w:pStyle w:val="FirstParagraph"/>
      </w:pPr>
      <w:r>
        <w:t xml:space="preserve">The generator + installer are re-run automatically on every constitution pull</w:t>
      </w:r>
      <w:r>
        <w:t xml:space="preserve"> </w:t>
      </w:r>
      <w:r>
        <w:t xml:space="preserve">(§11.4.164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), so a new directive is live out of the box.</w:t>
      </w:r>
    </w:p>
    <w:bookmarkEnd w:id="15"/>
    <w:bookmarkStart w:id="16" w:name="reference"/>
    <w:p>
      <w:pPr>
        <w:pStyle w:val="Heading2"/>
      </w:pPr>
      <w:r>
        <w:t xml:space="preserve">Reference</w:t>
      </w:r>
    </w:p>
    <w:p>
      <w:pPr>
        <w:pStyle w:val="Compact"/>
        <w:numPr>
          <w:ilvl w:val="0"/>
          <w:numId w:val="1005"/>
        </w:numPr>
      </w:pPr>
      <w:r>
        <w:t xml:space="preserve">Canonical: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§11.4.140.</w:t>
      </w:r>
    </w:p>
    <w:p>
      <w:pPr>
        <w:pStyle w:val="Compact"/>
        <w:numPr>
          <w:ilvl w:val="0"/>
          <w:numId w:val="1005"/>
        </w:numPr>
      </w:pPr>
      <w:r>
        <w:t xml:space="preserve">Recognition contract:</w:t>
      </w:r>
      <w:r>
        <w:t xml:space="preserve"> </w:t>
      </w:r>
      <w:r>
        <w:rPr>
          <w:rStyle w:val="VerbatimChar"/>
        </w:rPr>
        <w:t xml:space="preserve">constitution/actions/recognition_instruction.md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Resolver library:</w:t>
      </w:r>
      <w:r>
        <w:t xml:space="preserve"> </w:t>
      </w:r>
      <w:r>
        <w:rPr>
          <w:rStyle w:val="VerbatimChar"/>
        </w:rPr>
        <w:t xml:space="preserve">constitution/scripts/action_prefix_lib.sh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Manuals:</w:t>
      </w:r>
      <w:r>
        <w:t xml:space="preserve"> </w:t>
      </w:r>
      <w:r>
        <w:rPr>
          <w:rStyle w:val="VerbatimChar"/>
        </w:rPr>
        <w:t xml:space="preserve">constitution/docs/actions/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Use when a prompt begins with an UPPERCASE action token (BACKGROUND / REMINDER / ISSUE / BUG / TASK / a sub-system name) in any of the six §11.4.140 forms — NAME :: rest, PREFIX::NAME :: rest, /NAME rest, /PREFIX::NAME rest, NAME ---&gt; rest, or the single-colon NAME: rest — or when the operator asks how the action-directive / slash-command system works, how to add a new directive, why a bare /name did not resolve, why an unregistered TODO: line correctly did nothing, or what a grammar-shaped token that is NOT registered should do. Also use before inventing ANY expansion for an unknown UPPERCASE token.</dc:description>
  <dc:language>en</dc:language>
  <cp:keywords/>
  <dcterms:created xsi:type="dcterms:W3CDTF">2026-08-10T11:00:16Z</dcterms:created>
  <dcterms:modified xsi:type="dcterms:W3CDTF">2026-08-10T11:00:16Z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Action Prefix System</vt:lpwstr>
  </property>
  <property fmtid="{D5CDD505-2E9C-101B-9397-08002B2CF9AE}" pid="3" name="version">
    <vt:lpwstr>1.0.0</vt:lpwstr>
  </property>
</Properties>
</file>