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workable-item-lifecycle"/>
    <w:p>
      <w:pPr>
        <w:pStyle w:val="Heading1"/>
      </w:pPr>
      <w:r>
        <w:t xml:space="preserve">Workable Item Lifecycle</w:t>
      </w:r>
    </w:p>
    <w:p>
      <w:pPr>
        <w:pStyle w:val="FirstParagraph"/>
      </w:pPr>
      <w:r>
        <w:t xml:space="preserve">The workable-items</w:t>
      </w:r>
      <w:r>
        <w:t xml:space="preserve"> </w:t>
      </w:r>
      <w:r>
        <w:rPr>
          <w:b/>
          <w:bCs/>
        </w:rPr>
        <w:t xml:space="preserve">SQLite DB is the single source of truth</w:t>
      </w:r>
      <w:r>
        <w:t xml:space="preserve"> </w:t>
      </w:r>
      <w:r>
        <w:t xml:space="preserve">(§11.4.93,</w:t>
      </w:r>
      <w:r>
        <w:t xml:space="preserve"> </w:t>
      </w:r>
      <w:r>
        <w:t xml:space="preserve">tracked in git per §11.4.95). Issues / Fixed / the summaries and their HTML /</w:t>
      </w:r>
      <w:r>
        <w:t xml:space="preserve"> </w:t>
      </w:r>
      <w:r>
        <w:t xml:space="preserve">PDF / DOCX siblings are</w:t>
      </w:r>
      <w:r>
        <w:t xml:space="preserve"> </w:t>
      </w:r>
      <w:r>
        <w:rPr>
          <w:b/>
          <w:bCs/>
        </w:rPr>
        <w:t xml:space="preserve">generated outputs</w:t>
      </w:r>
      <w:r>
        <w:t xml:space="preserve"> </w:t>
      </w:r>
      <w:r>
        <w:t xml:space="preserve">(§11.4.12 / §11.4.53 / §11.4.65 /</w:t>
      </w:r>
      <w:r>
        <w:t xml:space="preserve"> </w:t>
      </w:r>
      <w:r>
        <w:t xml:space="preserve">§11.4.106).</w:t>
      </w:r>
      <w:r>
        <w:t xml:space="preserve"> </w:t>
      </w:r>
      <w:r>
        <w:rPr>
          <w:b/>
          <w:bCs/>
        </w:rPr>
        <w:t xml:space="preserve">Never hand-edit a generated doc</w:t>
      </w:r>
      <w:r>
        <w:t xml:space="preserve"> </w:t>
      </w:r>
      <w:r>
        <w:t xml:space="preserve">— change the DB and regenerate,</w:t>
      </w:r>
      <w:r>
        <w:t xml:space="preserve"> </w:t>
      </w:r>
      <w:r>
        <w:t xml:space="preserve">or the next regeneration silently reverts your edit.</w:t>
      </w:r>
    </w:p>
    <w:bookmarkStart w:id="9" w:name="status--closed-set-11415--11421--11490"/>
    <w:p>
      <w:pPr>
        <w:pStyle w:val="Heading2"/>
      </w:pPr>
      <w:r>
        <w:t xml:space="preserve">Status — closed set (§11.4.15 / §11.4.21 / §11.4.90)</w:t>
      </w:r>
    </w:p>
    <w:p>
      <w:pPr>
        <w:pStyle w:val="FirstParagraph"/>
      </w:pPr>
      <w:r>
        <w:rPr>
          <w:rStyle w:val="VerbatimChar"/>
        </w:rPr>
        <w:t xml:space="preserve">Queued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testing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· terminal closure ·</w:t>
      </w:r>
      <w:r>
        <w:t xml:space="preserve"> </w:t>
      </w:r>
      <w:r>
        <w:rPr>
          <w:rStyle w:val="VerbatimChar"/>
        </w:rPr>
        <w:t xml:space="preserve">Obsolete (→ Fixed.md)</w:t>
      </w:r>
    </w:p>
    <w:bookmarkEnd w:id="9"/>
    <w:bookmarkStart w:id="10" w:name="type--closed-set-11416"/>
    <w:p>
      <w:pPr>
        <w:pStyle w:val="Heading2"/>
      </w:pPr>
      <w:r>
        <w:t xml:space="preserve">Type — closed set (§11.4.16)</w:t>
      </w:r>
    </w:p>
    <w:p>
      <w:pPr>
        <w:pStyle w:val="FirstParagraph"/>
      </w:pPr>
      <w:r>
        <w:rPr>
          <w:rStyle w:val="VerbatimChar"/>
        </w:rPr>
        <w:t xml:space="preserve">Bug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</w:t>
      </w:r>
      <w:r>
        <w:t xml:space="preserve">. No fourth value.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is the lowest-stakes default</w:t>
      </w:r>
      <w:r>
        <w:t xml:space="preserve"> </w:t>
      </w:r>
      <w:r>
        <w:t xml:space="preserve">when genuinely ambiguous.</w:t>
      </w:r>
    </w:p>
    <w:bookmarkEnd w:id="10"/>
    <w:bookmarkStart w:id="11" w:name="closure-vocabulary-is-type-aware-11433"/>
    <w:p>
      <w:pPr>
        <w:pStyle w:val="Heading2"/>
      </w:pPr>
      <w:r>
        <w:t xml:space="preserve">Closure vocabulary is TYPE-AWARE (§11.4.33)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Closure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 (→ Fixed.md)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Implemented (→ Fixed.md)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 (→ Fixed.md)</w:t>
            </w:r>
          </w:p>
        </w:tc>
      </w:tr>
    </w:tbl>
    <w:p>
      <w:pPr>
        <w:pStyle w:val="BodyText"/>
      </w:pPr>
      <w:r>
        <w:t xml:space="preserve">Closing a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as "Fixed", or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as "Implemented", is a §11.4.33</w:t>
      </w:r>
      <w:r>
        <w:t xml:space="preserve"> </w:t>
      </w:r>
      <w:r>
        <w:t xml:space="preserve">violation. All three are semantically equivalent ("closed, positive evidence</w:t>
      </w:r>
      <w:r>
        <w:t xml:space="preserve"> </w:t>
      </w:r>
      <w:r>
        <w:t xml:space="preserve">captured") but the literal must match the Type.</w:t>
      </w:r>
    </w:p>
    <w:bookmarkEnd w:id="11"/>
    <w:bookmarkStart w:id="12" w:name="Xebfea01fc23a487159d4e36c0f26404d83fc577"/>
    <w:p>
      <w:pPr>
        <w:pStyle w:val="Heading2"/>
      </w:pPr>
      <w:r>
        <w:t xml:space="preserve">Closure requires captured evidence — always (§11.4.123 / §11.4.108)</w:t>
      </w:r>
    </w:p>
    <w:p>
      <w:pPr>
        <w:pStyle w:val="FirstParagraph"/>
      </w:pPr>
      <w:r>
        <w:t xml:space="preserve">An item may be closed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with rock-solid captured proof (§11.4.5 /</w:t>
      </w:r>
      <w:r>
        <w:t xml:space="preserve"> </w:t>
      </w:r>
      <w:r>
        <w:t xml:space="preserve">§11.4.69 / §11.4.107).</w:t>
      </w:r>
      <w:r>
        <w:t xml:space="preserve"> </w:t>
      </w:r>
      <w:r>
        <w:rPr>
          <w:b/>
          <w:bCs/>
        </w:rPr>
        <w:t xml:space="preserve">Forbidden as proof:</w:t>
      </w:r>
      <w:r>
        <w:t xml:space="preserve"> </w:t>
      </w:r>
      <w:r>
        <w:t xml:space="preserve">metadata-only, configuration-only,</w:t>
      </w:r>
      <w:r>
        <w:t xml:space="preserve"> </w:t>
      </w:r>
      <w:r>
        <w:t xml:space="preserve">absence-of-error, and grep-without-runtime.</w:t>
      </w:r>
    </w:p>
    <w:p>
      <w:pPr>
        <w:pStyle w:val="BodyText"/>
      </w:pPr>
      <w:r>
        <w:t xml:space="preserve">"Done" means the item's</w:t>
      </w:r>
      <w:r>
        <w:t xml:space="preserve"> </w:t>
      </w:r>
      <w:r>
        <w:rPr>
          <w:b/>
          <w:bCs/>
        </w:rPr>
        <w:t xml:space="preserve">runtime signature verifies on a clean deployment</w:t>
      </w:r>
      <w:r>
        <w:t xml:space="preserve"> </w:t>
      </w:r>
      <w:r>
        <w:t xml:space="preserve">(§11.4.108) — source-committed ≠ artifact-contains-it ≠ active-on-clean-target ≠</w:t>
      </w:r>
      <w:r>
        <w:t xml:space="preserve"> </w:t>
      </w:r>
      <w:r>
        <w:t xml:space="preserve">works-for-the-user. Green at the source layer says nothing about the other three.</w:t>
      </w:r>
    </w:p>
    <w:p>
      <w:pPr>
        <w:pStyle w:val="BodyText"/>
      </w:pPr>
      <w:r>
        <w:t xml:space="preserve">If you are unsure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validate something, that is a research trigger, not</w:t>
      </w:r>
      <w:r>
        <w:t xml:space="preserve"> </w:t>
      </w:r>
      <w:r>
        <w:t xml:space="preserve">a licence to accept a weak PASS: do the deep research first (§11.4.123).</w:t>
      </w:r>
    </w:p>
    <w:bookmarkEnd w:id="12"/>
    <w:bookmarkStart w:id="13" w:name="reopening-11434--11455"/>
    <w:p>
      <w:pPr>
        <w:pStyle w:val="Heading2"/>
      </w:pPr>
      <w:r>
        <w:t xml:space="preserve">Reopening (§11.4.34 / §11.4.55)</w:t>
      </w:r>
    </w:p>
    <w:p>
      <w:pPr>
        <w:pStyle w:val="FirstParagraph"/>
      </w:pPr>
      <w:r>
        <w:t xml:space="preserve">A reopen is a</w:t>
      </w:r>
      <w:r>
        <w:t xml:space="preserve"> </w:t>
      </w:r>
      <w:r>
        <w:rPr>
          <w:b/>
          <w:bCs/>
        </w:rPr>
        <w:t xml:space="preserve">demotion from closed</w:t>
      </w:r>
      <w:r>
        <w:t xml:space="preserve"> </w:t>
      </w:r>
      <w:r>
        <w:t xml:space="preserve">and therefore requires positive evidence</w:t>
      </w:r>
      <w:r>
        <w:t xml:space="preserve"> </w:t>
      </w:r>
      <w:r>
        <w:t xml:space="preserve">captured under the conditions that re-exposed the defect (§11.4.7). Record: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By: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On:</w:t>
      </w:r>
      <w:r>
        <w:t xml:space="preserve"> </w:t>
      </w:r>
      <w:r>
        <w:t xml:space="preserve">ISO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from the closed vocabulary —</w:t>
      </w:r>
      <w:r>
        <w:t xml:space="preserve"> </w:t>
      </w:r>
      <w:r>
        <w:rPr>
          <w:rStyle w:val="VerbatimChar"/>
        </w:rPr>
        <w:t xml:space="preserve">test-failed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manual-testing-detected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captured-evidence-contradicts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end-user-report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cycle-re-discovered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design-reconsidered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path to the captured artefact</w:t>
      </w:r>
    </w:p>
    <w:p>
      <w:pPr>
        <w:pStyle w:val="FirstParagraph"/>
      </w:pPr>
      <w:r>
        <w:t xml:space="preserve">Items with</w:t>
      </w:r>
      <w:r>
        <w:t xml:space="preserve"> </w:t>
      </w:r>
      <w:r>
        <w:rPr>
          <w:rStyle w:val="VerbatimChar"/>
        </w:rPr>
        <w:t xml:space="preserve">reopens_count &gt; 0</w:t>
      </w:r>
      <w:r>
        <w:t xml:space="preserve"> </w:t>
      </w:r>
      <w:r>
        <w:t xml:space="preserve">carry a per-item reopen history doc. A high</w:t>
      </w:r>
      <w:r>
        <w:t xml:space="preserve"> </w:t>
      </w:r>
      <w:r>
        <w:t xml:space="preserve">reopen count is the strongest empirical fragility signal — those cases get the</w:t>
      </w:r>
      <w:r>
        <w:t xml:space="preserve"> </w:t>
      </w:r>
      <w:r>
        <w:rPr>
          <w:b/>
          <w:bCs/>
        </w:rPr>
        <w:t xml:space="preserve">deepest live-testing scrutiny, and they get it FIRST</w:t>
      </w:r>
      <w:r>
        <w:t xml:space="preserve"> </w:t>
      </w:r>
      <w:r>
        <w:t xml:space="preserve">(§11.4.189 / §11.4.132).</w:t>
      </w:r>
    </w:p>
    <w:bookmarkEnd w:id="13"/>
    <w:bookmarkStart w:id="14" w:name="operator-blocked-is-a-last-resort-11421"/>
    <w:p>
      <w:pPr>
        <w:pStyle w:val="Heading2"/>
      </w:pPr>
      <w:r>
        <w:t xml:space="preserve">Operator-blocked is a LAST resort (§11.4.21)</w:t>
      </w:r>
    </w:p>
    <w:p>
      <w:pPr>
        <w:pStyle w:val="FirstParagraph"/>
      </w:pPr>
      <w:r>
        <w:t xml:space="preserve">Only after documenting exhaustion of every self-resolution path (available</w:t>
      </w:r>
      <w:r>
        <w:t xml:space="preserve"> </w:t>
      </w:r>
      <w:r>
        <w:t xml:space="preserve">CLI/API access, subagent delegation, existing tooling, a captured fallback,</w:t>
      </w:r>
      <w:r>
        <w:t xml:space="preserve"> </w:t>
      </w:r>
      <w:r>
        <w:t xml:space="preserve">external research). It must state</w:t>
      </w:r>
      <w:r>
        <w:t xml:space="preserve"> </w:t>
      </w:r>
      <w:r>
        <w:rPr>
          <w:b/>
          <w:bCs/>
        </w:rPr>
        <w:t xml:space="preserve">WHAT / WHY (each exhausted alternative) /</w:t>
      </w:r>
      <w:r>
        <w:rPr>
          <w:b/>
          <w:bCs/>
        </w:rPr>
        <w:t xml:space="preserve"> </w:t>
      </w:r>
      <w:r>
        <w:rPr>
          <w:b/>
          <w:bCs/>
        </w:rPr>
        <w:t xml:space="preserve">UNBLOCK CONDITION / WHO</w:t>
      </w:r>
      <w:r>
        <w:t xml:space="preserve">. A fake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is a covenant violation at</w:t>
      </w:r>
      <w:r>
        <w:t xml:space="preserve"> </w:t>
      </w:r>
      <w:r>
        <w:t xml:space="preserve">the planning layer.</w:t>
      </w:r>
    </w:p>
    <w:bookmarkEnd w:id="14"/>
    <w:bookmarkStart w:id="15" w:name="Xa4b6e49495c81bbb45546c196c04127dd779461"/>
    <w:p>
      <w:pPr>
        <w:pStyle w:val="Heading2"/>
      </w:pPr>
      <w:r>
        <w:t xml:space="preserve">Obsolete needs a reason + a triple check (§11.4.90)</w:t>
      </w:r>
    </w:p>
    <w:p>
      <w:pPr>
        <w:pStyle w:val="FirstParagraph"/>
      </w:pPr>
      <w:r>
        <w:t xml:space="preserve">Reasons:</w:t>
      </w:r>
      <w:r>
        <w:t xml:space="preserve"> </w:t>
      </w:r>
      <w:r>
        <w:rPr>
          <w:rStyle w:val="VerbatimChar"/>
        </w:rPr>
        <w:t xml:space="preserve">superseded-by-design-change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superseded-by-later-mandate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duplicate-of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unsupported-topology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not-reproducible</w:t>
      </w:r>
      <w:r>
        <w:t xml:space="preserve">. Removing an existing end-user capability additionally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asking the operator first</w:t>
      </w:r>
      <w:r>
        <w:t xml:space="preserve"> </w:t>
      </w:r>
      <w:r>
        <w:t xml:space="preserve">(§11.4.122) — never a silent removal.</w:t>
      </w:r>
    </w:p>
    <w:bookmarkEnd w:id="15"/>
    <w:bookmarkStart w:id="16" w:name="nothing-may-sit-un-wired-forever-114197"/>
    <w:p>
      <w:pPr>
        <w:pStyle w:val="Heading2"/>
      </w:pPr>
      <w:r>
        <w:t xml:space="preserve">Nothing may sit un-wired forever (§11.4.197)</w:t>
      </w:r>
    </w:p>
    <w:p>
      <w:pPr>
        <w:pStyle w:val="FirstParagraph"/>
      </w:pPr>
      <w:r>
        <w:t xml:space="preserve">Every started effort — research, spike, design doc, half-landed feature — reaches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terminal state</w:t>
      </w:r>
      <w:r>
        <w:t xml:space="preserve">: fully COMPLETED</w:t>
      </w:r>
      <w:r>
        <w:t xml:space="preserve"> </w:t>
      </w:r>
      <w:r>
        <w:rPr>
          <w:i/>
          <w:iCs/>
        </w:rPr>
        <w:t xml:space="preserve">and wired</w:t>
      </w:r>
      <w:r>
        <w:t xml:space="preserve"> </w:t>
      </w:r>
      <w:r>
        <w:t xml:space="preserve">(integrated and used by</w:t>
      </w:r>
      <w:r>
        <w:t xml:space="preserve"> </w:t>
      </w:r>
      <w:r>
        <w:t xml:space="preserve">default, not parked behind a dead flag)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explicitly, evidence-backed</w:t>
      </w:r>
      <w:r>
        <w:t xml:space="preserve"> </w:t>
      </w:r>
      <w:r>
        <w:t xml:space="preserve">CLOSED. There is no third "sitting in the backlog un-wired" state.</w:t>
      </w:r>
    </w:p>
    <w:bookmarkEnd w:id="16"/>
    <w:bookmarkStart w:id="17" w:name="per-item-testing-diary-114149"/>
    <w:p>
      <w:pPr>
        <w:pStyle w:val="Heading2"/>
      </w:pPr>
      <w:r>
        <w:t xml:space="preserve">Per-item testing diary (§11.4.149)</w:t>
      </w:r>
    </w:p>
    <w:p>
      <w:pPr>
        <w:pStyle w:val="FirstParagraph"/>
      </w:pPr>
      <w:r>
        <w:t xml:space="preserve">Append-only, one entry per test event: date/time · tested-by · result ·</w:t>
      </w:r>
      <w:r>
        <w:t xml:space="preserve"> </w:t>
      </w:r>
      <w:r>
        <w:t xml:space="preserve">observations · action taken + why.</w:t>
      </w:r>
      <w:r>
        <w:t xml:space="preserve"> </w:t>
      </w:r>
      <w:r>
        <w:rPr>
          <w:b/>
          <w:bCs/>
        </w:rPr>
        <w:t xml:space="preserve">A PASS entry without an evidence path is</w:t>
      </w:r>
      <w:r>
        <w:rPr>
          <w:b/>
          <w:bCs/>
        </w:rPr>
        <w:t xml:space="preserve"> </w:t>
      </w:r>
      <w:r>
        <w:rPr>
          <w:b/>
          <w:bCs/>
        </w:rPr>
        <w:t xml:space="preserve">rejected by the schema</w:t>
      </w:r>
      <w:r>
        <w:t xml:space="preserve"> </w:t>
      </w:r>
      <w:r>
        <w:t xml:space="preserve">— that constraint is the anti-bluff mechanism, not</w:t>
      </w:r>
      <w:r>
        <w:t xml:space="preserve"> </w:t>
      </w:r>
      <w:r>
        <w:t xml:space="preserve">paperwork.</w:t>
      </w:r>
    </w:p>
    <w:bookmarkEnd w:id="17"/>
    <w:bookmarkStart w:id="18" w:name="practical-rules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02"/>
        </w:numPr>
      </w:pPr>
      <w:r>
        <w:t xml:space="preserve">Update Status as work actually progresses — a stale Status is a lie the whole</w:t>
      </w:r>
      <w:r>
        <w:t xml:space="preserve"> </w:t>
      </w:r>
      <w:r>
        <w:t xml:space="preserve">pipeline reads.</w:t>
      </w:r>
    </w:p>
    <w:p>
      <w:pPr>
        <w:pStyle w:val="Compact"/>
        <w:numPr>
          <w:ilvl w:val="0"/>
          <w:numId w:val="1002"/>
        </w:numPr>
      </w:pPr>
      <w:r>
        <w:t xml:space="preserve">Every status change flows</w:t>
      </w:r>
      <w:r>
        <w:t xml:space="preserve"> </w:t>
      </w:r>
      <w:r>
        <w:rPr>
          <w:b/>
          <w:bCs/>
        </w:rPr>
        <w:t xml:space="preserve">DB → regenerate docs</w:t>
      </w:r>
      <w:r>
        <w:t xml:space="preserve">, in the same commit.</w:t>
      </w:r>
    </w:p>
    <w:p>
      <w:pPr>
        <w:pStyle w:val="Compact"/>
        <w:numPr>
          <w:ilvl w:val="0"/>
          <w:numId w:val="1002"/>
        </w:numPr>
      </w:pPr>
      <w:r>
        <w:t xml:space="preserve">Fix ⇒ a permanent regression guard (§11.4.135), authored RED on the broken</w:t>
      </w:r>
      <w:r>
        <w:t xml:space="preserve"> </w:t>
      </w:r>
      <w:r>
        <w:t xml:space="preserve">artifact and flipped GREEN on the fixed one (§11.4.115).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Use when moving a tracked item through its lifecycle — starting work, marking it ready for testing, closing it, reopening it, marking it obsolete or operator-blocked — or when asked which Status/Type value is legal, how to close a Feature vs a Bug, why the Issues/Fixed docs must be regenerated rather than hand-edited, what a reopen must record, or what belongs in a per-item testing diary.</dc:description>
  <dc:language>en</dc:language>
  <cp:keywords/>
  <dcterms:created xsi:type="dcterms:W3CDTF">2026-08-10T11:00:20Z</dcterms:created>
  <dcterms:modified xsi:type="dcterms:W3CDTF">2026-08-10T11:00:20Z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Workable Item Lifecycle</vt:lpwstr>
  </property>
  <property fmtid="{D5CDD505-2E9C-101B-9397-08002B2CF9AE}" pid="3" name="version">
    <vt:lpwstr>1.0.0</vt:lpwstr>
  </property>
</Properties>
</file>