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GEMINI</w:t>
      </w:r>
    </w:p>
    <w:bookmarkStart w:id="14" w:name="helix-constitution--universal-geminimd"/>
    <w:p>
      <w:pPr>
        <w:pStyle w:val="Heading1"/>
      </w:pPr>
      <w:r>
        <w:t xml:space="preserve">Helix Constitution — Universal GEMINI.md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New Gemini CLI carrier of the Helix Constitution — added by §11.4.140 (universal action-prefix system) so Gemini CLI gets the LAYER-1 action-prefix recognition floor out of the box, plus the §11.4.141 token-efficiency mandate mirror. This file is one of the four canonical agent context carriers (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) the constitution maintains per §11.4.35; the textual identity of the action-prefix recognition block across all four IS the LAYER-1 universality. This GEMINI.md is a thin carrier — the full universal rule set is in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(canonical) and the sibling carriers; Gemini CLI reads this file as its context carrier.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§11.4.140 + §11.4.141 mirrors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Carrier created in lockstep with the Constitution.md §11.4.140 + §11.4.141 additions.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how-inheritance-works"/>
    <w:p>
      <w:pPr>
        <w:pStyle w:val="Heading2"/>
      </w:pPr>
      <w:r>
        <w:t xml:space="preserve">How inheritance works</w:t>
      </w:r>
    </w:p>
    <w:p>
      <w:pPr>
        <w:pStyle w:val="FirstParagraph"/>
      </w:pPr>
      <w:r>
        <w:t xml:space="preserve">This GEMINI.md is the</w:t>
      </w:r>
      <w:r>
        <w:t xml:space="preserve"> </w:t>
      </w:r>
      <w:r>
        <w:rPr>
          <w:b/>
          <w:bCs/>
        </w:rPr>
        <w:t xml:space="preserve">Gemini CLI carrier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submodule. It is one of the four canonical agent context carriers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constitution/GEMINI.md</w:t>
      </w:r>
      <w:r>
        <w:t xml:space="preserve">) — these ARE the canonical root per §11.4.35, NOT</w:t>
      </w:r>
      <w:r>
        <w:t xml:space="preserve"> </w:t>
      </w:r>
      <w:r>
        <w:t xml:space="preserve">consumer extensions. The full universal rule set lives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the sibling carriers 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 carry the same content for their respective agents. A consuming</w:t>
      </w:r>
      <w:r>
        <w:t xml:space="preserve"> </w:t>
      </w:r>
      <w:r>
        <w:t xml:space="preserve">project's own repo-root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(if any) opens with the inheritance pointer</w:t>
      </w:r>
      <w:r>
        <w:t xml:space="preserve"> </w:t>
      </w:r>
      <w:r>
        <w:t xml:space="preserve">and adds only project-specific rules; THIS file is the canonical carrier and</w:t>
      </w:r>
      <w:r>
        <w:t xml:space="preserve"> </w:t>
      </w:r>
      <w:r>
        <w:t xml:space="preserve">does not.</w:t>
      </w:r>
    </w:p>
    <w:p>
      <w:pPr>
        <w:pStyle w:val="BodyText"/>
      </w:pPr>
      <w:r>
        <w:t xml:space="preserve">For agents driven from a consuming project, the project's repo-root carrier</w:t>
      </w:r>
      <w:r>
        <w:t xml:space="preserve"> </w:t>
      </w:r>
      <w:r>
        <w:t xml:space="preserve">SHOULD start with a clearly-marked inheritance pointer:</w:t>
      </w:r>
    </w:p>
    <w:p>
      <w:pPr>
        <w:pStyle w:val="SourceCode"/>
      </w:pPr>
      <w:r>
        <w:rPr>
          <w:rStyle w:val="FunctionTok"/>
        </w:rPr>
        <w:t xml:space="preserve">## INHERITED FROM constitution/GEMINI.md</w:t>
      </w:r>
      <w:r>
        <w:br/>
      </w:r>
      <w:r>
        <w:br/>
      </w:r>
      <w:r>
        <w:rPr>
          <w:rStyle w:val="NormalTok"/>
        </w:rPr>
        <w:t xml:space="preserve">All rules in </w:t>
      </w:r>
      <w:r>
        <w:rPr>
          <w:rStyle w:val="InformationTok"/>
        </w:rPr>
        <w:t xml:space="preserve">`constitution/GEMINI.md`</w:t>
      </w:r>
      <w:r>
        <w:rPr>
          <w:rStyle w:val="NormalTok"/>
        </w:rPr>
        <w:t xml:space="preserve"> (and the </w:t>
      </w:r>
      <w:r>
        <w:rPr>
          <w:rStyle w:val="InformationTok"/>
        </w:rPr>
        <w:t xml:space="preserve">`constitution/Constitution.md`</w:t>
      </w:r>
      <w:r>
        <w:br/>
      </w:r>
      <w:r>
        <w:rPr>
          <w:rStyle w:val="NormalTok"/>
        </w:rPr>
        <w:t xml:space="preserve">it references) apply unconditionally. The project-specific rules below</w:t>
      </w:r>
      <w:r>
        <w:br/>
      </w:r>
      <w:r>
        <w:rPr>
          <w:rStyle w:val="NormalTok"/>
        </w:rPr>
        <w:t xml:space="preserve">extend them.</w:t>
      </w:r>
    </w:p>
    <w:bookmarkEnd w:id="9"/>
    <w:bookmarkStart w:id="11" w:name="Xa248266842dbec6af31dbcf1ca91a15c9292d5b"/>
    <w:p>
      <w:pPr>
        <w:pStyle w:val="Heading2"/>
      </w:pPr>
      <w:r>
        <w:t xml:space="preserve">Action-prefix recognition (§11.4.140 — LAYER-1)</w:t>
      </w:r>
    </w:p>
    <w:p>
      <w:pPr>
        <w:pStyle w:val="FirstParagraph"/>
      </w:pPr>
      <w:r>
        <w:t xml:space="preserve">The block below is the</w:t>
      </w:r>
      <w:r>
        <w:t xml:space="preserve"> </w:t>
      </w:r>
      <w:r>
        <w:rPr>
          <w:b/>
          <w:bCs/>
        </w:rPr>
        <w:t xml:space="preserve">canonical LAYER-1 action-prefix recognition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</w:t>
      </w:r>
      <w:r>
        <w:t xml:space="preserve">, embedded VERBATIM (identical text) into every agent context</w:t>
      </w:r>
      <w:r>
        <w:t xml:space="preserve"> </w:t>
      </w:r>
      <w:r>
        <w:t xml:space="preserve">carrier the constitution maintains. That textual identity across all four</w:t>
      </w:r>
      <w:r>
        <w:t xml:space="preserve"> </w:t>
      </w:r>
      <w:r>
        <w:t xml:space="preserve">carriers IS the LAYER-1 universality: Gemini CLI reads this block via this</w:t>
      </w:r>
      <w:r>
        <w:t xml:space="preserve"> </w:t>
      </w:r>
      <w:r>
        <w:t xml:space="preserve">carrier and applies the prefix expansion itself, so the action-prefix system</w:t>
      </w:r>
      <w:r>
        <w:t xml:space="preserve"> </w:t>
      </w:r>
      <w:r>
        <w:t xml:space="preserve">works on Gemini CLI with zero extra setup.</w:t>
      </w:r>
    </w:p>
    <w:p>
      <w:pPr>
        <w:pStyle w:val="BlockText"/>
      </w:pPr>
      <w:r>
        <w:rPr>
          <w:b/>
          <w:bCs/>
        </w:rPr>
        <w:t xml:space="preserve">§11.4.140 — Universal action-prefix system (</w:t>
      </w:r>
      <w:r>
        <w:rPr>
          <w:rStyle w:val="VerbatimChar"/>
          <w:b/>
          <w:bCs/>
        </w:rPr>
        <w:t xml:space="preserve">ACTION_NAME ::</w:t>
      </w:r>
      <w:r>
        <w:rPr>
          <w:b/>
          <w:bCs/>
        </w:rPr>
        <w:t xml:space="preserve">) (User mandate,</w:t>
      </w:r>
      <w:r>
        <w:rPr>
          <w:b/>
          <w:bCs/>
        </w:rPr>
        <w:t xml:space="preserve"> </w:t>
      </w:r>
      <w:r>
        <w:rPr>
          <w:b/>
          <w:bCs/>
        </w:rPr>
        <w:t xml:space="preserve">2026-06-09; GRAMMAR_ADDENDUM 2026-06-09).</w:t>
      </w:r>
      <w:r>
        <w:t xml:space="preserve"> </w:t>
      </w:r>
      <w:r>
        <w:t xml:space="preserve">When a user prompt's FIRST</w:t>
      </w:r>
      <w:r>
        <w:t xml:space="preserve"> </w:t>
      </w:r>
      <w:r>
        <w:t xml:space="preserve">non-blank line starts with a recognised action prefix, you MUST: (1) look the</w:t>
      </w:r>
      <w:r>
        <w:t xml:space="preserve"> </w:t>
      </w:r>
      <w:r>
        <w:t xml:space="preserve">action token up in the action registry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);</w:t>
      </w:r>
      <w:r>
        <w:t xml:space="preserve"> </w:t>
      </w:r>
      <w:r>
        <w:t xml:space="preserve">(2) if it is a registered action, REPLACE the prefix with that action's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and apply its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(3) execute the remainder of the prompt</w:t>
      </w:r>
      <w:r>
        <w:t xml:space="preserve"> </w:t>
      </w:r>
      <w:r>
        <w:t xml:space="preserve">under the expanded instruction.</w:t>
      </w:r>
      <w:r>
        <w:t xml:space="preserve"> </w:t>
      </w:r>
      <w:r>
        <w:rPr>
          <w:b/>
          <w:bCs/>
        </w:rPr>
        <w:t xml:space="preserve">Four EQUIVALENT forms</w:t>
      </w:r>
      <w:r>
        <w:t xml:space="preserve"> </w:t>
      </w:r>
      <w:r>
        <w:t xml:space="preserve">— same action, same</w:t>
      </w:r>
      <w:r>
        <w:t xml:space="preserve"> </w:t>
      </w:r>
      <w:r>
        <w:t xml:space="preserve">expansion, same execution: (1)</w:t>
      </w:r>
      <w:r>
        <w:t xml:space="preserve"> </w:t>
      </w:r>
      <w:r>
        <w:rPr>
          <w:rStyle w:val="VerbatimChar"/>
        </w:rPr>
        <w:t xml:space="preserve">ACTION_NAME :: &lt;rest&gt;</w:t>
      </w:r>
      <w:r>
        <w:t xml:space="preserve"> </w:t>
      </w:r>
      <w:r>
        <w:t xml:space="preserve">(bare</w:t>
      </w:r>
      <w:r>
        <w:t xml:space="preserve"> </w:t>
      </w:r>
      <w:r>
        <w:rPr>
          <w:rStyle w:val="VerbatimChar"/>
        </w:rPr>
        <w:t xml:space="preserve">::</w:t>
      </w:r>
      <w:r>
        <w:t xml:space="preserve">),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PREFIX::ACTION_NAME :: &lt;rest&gt;</w:t>
      </w:r>
      <w:r>
        <w:t xml:space="preserve"> </w:t>
      </w:r>
      <w:r>
        <w:t xml:space="preserve">(namespaced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), (3)</w:t>
      </w:r>
      <w:r>
        <w:t xml:space="preserve"> </w:t>
      </w:r>
      <w:r>
        <w:rPr>
          <w:rStyle w:val="VerbatimChar"/>
        </w:rPr>
        <w:t xml:space="preserve">/ACTION_NAME &lt;rest&gt;</w:t>
      </w:r>
      <w:r>
        <w:t xml:space="preserve"> </w:t>
      </w:r>
      <w:r>
        <w:t xml:space="preserve">(bare slash), (4)</w:t>
      </w:r>
      <w:r>
        <w:t xml:space="preserve"> </w:t>
      </w:r>
      <w:r>
        <w:rPr>
          <w:rStyle w:val="VerbatimChar"/>
        </w:rPr>
        <w:t xml:space="preserve">/PREFIX::ACTION_NAME &lt;rest&gt;</w:t>
      </w:r>
      <w:r>
        <w:t xml:space="preserve"> </w:t>
      </w:r>
      <w:r>
        <w:t xml:space="preserve">(namespaced slash). Thus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/BACKGROUND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/DEFAULT::BACKGROUND x</w:t>
      </w:r>
      <w:r>
        <w:t xml:space="preserve">.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is an action NAMESPACE; the reserved default</w:t>
      </w:r>
      <w:r>
        <w:t xml:space="preserve"> </w:t>
      </w:r>
      <w:r>
        <w:t xml:space="preserve">namespace is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, and an action runs WITH or WITHOUT the prefix.</w:t>
      </w:r>
      <w:r>
        <w:t xml:space="preserve"> </w:t>
      </w:r>
      <w:r>
        <w:t xml:space="preserve">Grammar (all hold): anchored at the FIRST non-blank line only (mid-prose tokens</w:t>
      </w:r>
      <w:r>
        <w:t xml:space="preserve"> </w:t>
      </w:r>
      <w:r>
        <w:t xml:space="preserve">never match); the action token AND the namespace are UPPERCASE-only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 </w:t>
      </w:r>
      <w:r>
        <w:t xml:space="preserve">(lowercase never matches); the namespace separator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inside the token carries NO surrounding spaces (</w:t>
      </w:r>
      <w:r>
        <w:rPr>
          <w:rStyle w:val="VerbatimChar"/>
        </w:rPr>
        <w:t xml:space="preserve">PREFIX::ACTION_NAME</w:t>
      </w:r>
      <w:r>
        <w:t xml:space="preserve">), DISTINCT</w:t>
      </w:r>
      <w:r>
        <w:t xml:space="preserve"> </w:t>
      </w:r>
      <w:r>
        <w:t xml:space="preserve">from the action-body separator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(one ASCII space on each side of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—</w:t>
      </w:r>
      <w:r>
        <w:t xml:space="preserve"> </w:t>
      </w:r>
      <w:r>
        <w:t xml:space="preserve">avoids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URLs) in forms 1/2 and the slash-body</w:t>
      </w:r>
      <w:r>
        <w:t xml:space="preserve"> </w:t>
      </w:r>
      <w:r>
        <w:t xml:space="preserve">separator (one space) in forms 3/4; stacked prefixes (</w:t>
      </w:r>
      <w:r>
        <w:rPr>
          <w:rStyle w:val="VerbatimChar"/>
        </w:rPr>
        <w:t xml:space="preserve">A :: B :: rest</w:t>
      </w:r>
      <w:r>
        <w:t xml:space="preserve">) apply</w:t>
      </w:r>
      <w:r>
        <w:t xml:space="preserve"> </w:t>
      </w:r>
      <w:r>
        <w:t xml:space="preserve">outer-to-inner, left-to-right (expand</w:t>
      </w:r>
      <w:r>
        <w:t xml:space="preserve"> </w:t>
      </w:r>
      <w:r>
        <w:rPr>
          <w:rStyle w:val="VerbatimChar"/>
        </w:rPr>
        <w:t xml:space="preserve">A</w:t>
      </w:r>
      <w:r>
        <w:t xml:space="preserve">, re-scan, expand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then the</w:t>
      </w:r>
      <w:r>
        <w:t xml:space="preserve"> </w:t>
      </w:r>
      <w:r>
        <w:t xml:space="preserve">residual is the task); a leading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escapes the prefix for BOTH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and</w:t>
      </w:r>
      <w:r>
        <w:t xml:space="preserve"> </w:t>
      </w:r>
      <w:r>
        <w:t xml:space="preserve">the slash form (</w:t>
      </w:r>
      <w:r>
        <w:rPr>
          <w:rStyle w:val="VerbatimChar"/>
        </w:rPr>
        <w:t xml:space="preserve">\BACKGROUND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 </w:t>
      </w:r>
      <w:r>
        <w:t xml:space="preserve">— treat literally, strip</w:t>
      </w:r>
      <w:r>
        <w:t xml:space="preserve"> </w:t>
      </w:r>
      <w:r>
        <w:t xml:space="preserve">the backslash, NO expansion) so action names can be discussed.</w:t>
      </w:r>
      <w:r>
        <w:t xml:space="preserve"> </w:t>
      </w:r>
      <w:r>
        <w:rPr>
          <w:b/>
          <w:bCs/>
        </w:rPr>
        <w:t xml:space="preserve">Conflict rule</w:t>
      </w:r>
      <w:r>
        <w:rPr>
          <w:b/>
          <w:bCs/>
        </w:rPr>
        <w:t xml:space="preserve"> </w:t>
      </w:r>
      <w:r>
        <w:rPr>
          <w:b/>
          <w:bCs/>
        </w:rPr>
        <w:t xml:space="preserve">(slash form):</w:t>
      </w:r>
      <w:r>
        <w:t xml:space="preserve"> </w:t>
      </w:r>
      <w:r>
        <w:rPr>
          <w:rStyle w:val="VerbatimChar"/>
        </w:rPr>
        <w:t xml:space="preserve">/ACTION_NAME</w:t>
      </w:r>
      <w:r>
        <w:t xml:space="preserve"> </w:t>
      </w:r>
      <w:r>
        <w:t xml:space="preserve">(form 3) is honored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(case-folded) does not collide with a built-in/host slash command</w:t>
      </w:r>
      <w:r>
        <w:t xml:space="preserve"> </w:t>
      </w:r>
      <w:r>
        <w:t xml:space="preserve">(registry</w:t>
      </w:r>
      <w:r>
        <w:t xml:space="preserve"> </w:t>
      </w:r>
      <w:r>
        <w:rPr>
          <w:rStyle w:val="VerbatimChar"/>
        </w:rPr>
        <w:t xml:space="preserve">slash_bare: auto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); form 4</w:t>
      </w:r>
      <w:r>
        <w:t xml:space="preserve"> </w:t>
      </w:r>
      <w:r>
        <w:t xml:space="preserve">(</w:t>
      </w:r>
      <w:r>
        <w:rPr>
          <w:rStyle w:val="VerbatimChar"/>
        </w:rPr>
        <w:t xml:space="preserve">/PREFIX::ACTION_NAME</w:t>
      </w:r>
      <w:r>
        <w:t xml:space="preserve">) is ALWAYS unambiguous and always honored. An unknown</w:t>
      </w:r>
      <w:r>
        <w:t xml:space="preserve"> </w:t>
      </w:r>
      <w:r>
        <w:t xml:space="preserve">token that matches the grammar shape (any of the 4 forms) but is NOT registered</w:t>
      </w:r>
      <w:r>
        <w:t xml:space="preserve"> </w:t>
      </w:r>
      <w:r>
        <w:t xml:space="preserve">is NEVER silently expanded or silently dropped — ask which registered action</w:t>
      </w:r>
      <w:r>
        <w:t xml:space="preserve"> </w:t>
      </w:r>
      <w:r>
        <w:t xml:space="preserve">was meant (§11.4.66 / §11.4.105) or treat it as a literal prompt, NEVER invent</w:t>
      </w:r>
      <w:r>
        <w:t xml:space="preserve"> </w:t>
      </w:r>
      <w:r>
        <w:t xml:space="preserve">an expansion (§11.4.6); any prompt not satisfying the grammar is an ordinary</w:t>
      </w:r>
      <w:r>
        <w:t xml:space="preserve"> </w:t>
      </w:r>
      <w:r>
        <w:t xml:space="preserve">prompt and the system is a no-op. The registered action</w:t>
      </w:r>
      <w:r>
        <w:t xml:space="preserve"> </w:t>
      </w:r>
      <w:r>
        <w:rPr>
          <w:rStyle w:val="VerbatimChar"/>
          <w:b/>
          <w:bCs/>
        </w:rPr>
        <w:t xml:space="preserve">BACKGROUND</w:t>
      </w:r>
      <w:r>
        <w:t xml:space="preserve"> </w:t>
      </w:r>
      <w:r>
        <w:t xml:space="preserve">expands</w:t>
      </w:r>
      <w:r>
        <w:t xml:space="preserve"> </w:t>
      </w:r>
      <w:r>
        <w:t xml:space="preserve">to:</w:t>
      </w:r>
      <w:r>
        <w:t xml:space="preserve"> </w:t>
      </w:r>
      <w:r>
        <w:rPr>
          <w:i/>
          <w:iCs/>
        </w:rPr>
        <w:t xml:space="preserve">"The following prompt that we will provide MUST BE executed in 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in parallel with all main work streams using the subagents-driven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approach! All work done MUST PRODUCE rock solid evidence covered with hard</w:t>
      </w:r>
      <w:r>
        <w:rPr>
          <w:i/>
          <w:iCs/>
        </w:rPr>
        <w:t xml:space="preserve"> </w:t>
      </w:r>
      <w:r>
        <w:rPr>
          <w:i/>
          <w:iCs/>
        </w:rPr>
        <w:t xml:space="preserve">physical proof(s) that all done is working as expected and as specified without</w:t>
      </w:r>
      <w:r>
        <w:rPr>
          <w:i/>
          <w:iCs/>
        </w:rPr>
        <w:t xml:space="preserve"> </w:t>
      </w:r>
      <w:r>
        <w:rPr>
          <w:i/>
          <w:iCs/>
        </w:rPr>
        <w:t xml:space="preserve">any false results and without any bluff!"</w:t>
      </w:r>
      <w:r>
        <w:t xml:space="preserve"> </w:t>
      </w:r>
      <w:r>
        <w:t xml:space="preserve">(composes §11.4.20 / §11.4.70</w:t>
      </w:r>
      <w:r>
        <w:t xml:space="preserve"> </w:t>
      </w:r>
      <w:r>
        <w:t xml:space="preserve">subagent-driven, §11.4.58 / §11.4.103 parallel streams, §11.4.89 background</w:t>
      </w:r>
      <w:r>
        <w:t xml:space="preserve"> </w:t>
      </w:r>
      <w:r>
        <w:t xml:space="preserve">execution, §11.4.5 / §11.4.69 / §11.4.107 captured physical evidence, §11.4</w:t>
      </w:r>
      <w:r>
        <w:t xml:space="preserve"> </w:t>
      </w:r>
      <w:r>
        <w:t xml:space="preserve">anti-bluff). The system is UNIVERSAL (every CLI agent reads this block via its</w:t>
      </w:r>
      <w:r>
        <w:t xml:space="preserve"> </w:t>
      </w:r>
      <w:r>
        <w:t xml:space="preserve">context carrier per §11.4.35), extensible (new action = new registry row),</w:t>
      </w:r>
      <w:r>
        <w:t xml:space="preserve"> </w:t>
      </w:r>
      <w:r>
        <w:t xml:space="preserve">decoupled + reusable (§11.4.28), and loads out-of-the-box. Classification:</w:t>
      </w:r>
      <w:r>
        <w:t xml:space="preserve"> </w:t>
      </w:r>
      <w:r>
        <w:t xml:space="preserve">universal (§11.4.17).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 Non-compliance is a release</w:t>
      </w:r>
      <w:r>
        <w:t xml:space="preserve"> </w:t>
      </w:r>
      <w:r>
        <w:t xml:space="preserve">blocker. No escape hatch — no</w:t>
      </w:r>
      <w:r>
        <w:t xml:space="preserve"> </w:t>
      </w:r>
      <w:r>
        <w:rPr>
          <w:rStyle w:val="VerbatimChar"/>
        </w:rPr>
        <w:t xml:space="preserve">--skip-action-prefix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--ignore-prefix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--invent-expansion-OK</w:t>
      </w:r>
      <w:r>
        <w:t xml:space="preserve">,</w:t>
      </w:r>
      <w:r>
        <w:t xml:space="preserve"> </w:t>
      </w:r>
      <w:r>
        <w:rPr>
          <w:rStyle w:val="VerbatimChar"/>
        </w:rPr>
        <w:t xml:space="preserve">--single-layer-only</w:t>
      </w:r>
      <w:r>
        <w:t xml:space="preserve"> </w:t>
      </w:r>
      <w:r>
        <w:t xml:space="preserve">flag.</w:t>
      </w:r>
    </w:p>
    <w:bookmarkEnd w:id="11"/>
    <w:bookmarkStart w:id="12" w:name="token-efficiency-mandate-114141"/>
    <w:p>
      <w:pPr>
        <w:pStyle w:val="Heading2"/>
      </w:pPr>
      <w:r>
        <w:t xml:space="preserve">Token-efficiency mandate (§11.4.141)</w:t>
      </w:r>
    </w:p>
    <w:p>
      <w:pPr>
        <w:pStyle w:val="FirstParagraph"/>
      </w:pPr>
      <w:r>
        <w:rPr>
          <w:b/>
          <w:bCs/>
        </w:rPr>
        <w:t xml:space="preserve">§11.4.141 — Token-efficiency mandate (research-derived + operator mandate, 2026-06-09).</w:t>
      </w:r>
      <w:r>
        <w:t xml:space="preserve"> </w:t>
      </w:r>
      <w:r>
        <w:t xml:space="preserve">Every project worked on by AI coding agents MUST cut token spend (input AND output) toward</w:t>
      </w:r>
      <w:r>
        <w:t xml:space="preserve"> </w:t>
      </w:r>
      <w:r>
        <w:rPr>
          <w:b/>
          <w:bCs/>
        </w:rPr>
        <w:t xml:space="preserve">30–40% of current (a 60–70% reduction)</w:t>
      </w:r>
      <w:r>
        <w:t xml:space="preserve"> </w:t>
      </w:r>
      <w:r>
        <w:t xml:space="preserve">WITHOUT degrading quality/performance/safety or breaking any existing mechanism, via a composable, safety-ranked measure set: (1)</w:t>
      </w:r>
      <w:r>
        <w:t xml:space="preserve"> </w:t>
      </w:r>
      <w:r>
        <w:rPr>
          <w:b/>
          <w:bCs/>
        </w:rPr>
        <w:t xml:space="preserve">prompt-cache the static governance prefix</w:t>
      </w:r>
      <w:r>
        <w:t xml:space="preserve"> </w:t>
      </w:r>
      <w:r>
        <w:t xml:space="preserve">— the always-loaded governance forms a byte-stable cache-breakpointed prefix with no volatile bytes ahead of it; cache reads cost ~0.1× base input (the dominant cost driver — measured ~170K tokens of governance re-sent every turn, externally corroborated by Claude Code issue #24147); caching is transparent so it removes no rule, weakens no gate, changes no verdict — only billing (PRIMARY, biggest + safest lever); the operative discipline is to</w:t>
      </w:r>
      <w:r>
        <w:t xml:space="preserve"> </w:t>
      </w:r>
      <w:r>
        <w:rPr>
          <w:b/>
          <w:bCs/>
        </w:rPr>
        <w:t xml:space="preserve">batch governance edits and keep CLAUDE.md + the constitution byte-stable mid-session</w:t>
      </w:r>
      <w:r>
        <w:t xml:space="preserve"> </w:t>
      </w:r>
      <w:r>
        <w:t xml:space="preserve">— every governance edit busts the prompt cache (BASELINE.md finding); (2)</w:t>
      </w:r>
      <w:r>
        <w:t xml:space="preserve"> </w:t>
      </w:r>
      <w:r>
        <w:rPr>
          <w:b/>
          <w:bCs/>
        </w:rPr>
        <w:t xml:space="preserve">subagent model-tiering + output-to-file</w:t>
      </w:r>
      <w:r>
        <w:t xml:space="preserve"> </w:t>
      </w:r>
      <w:r>
        <w:t xml:space="preserve">— mechanical non-judgment work (search/grep/status/doc-export/read-only probes) to a Haiku-class model, the strong model RESERVED for all reasoning/verdicts/fix-design (§11.4.102)/code-review (§11.4.125)/demotion (§11.4.7), large output persisted to a file not an inline 350–520K-token transcript; the cheap model never emits a PASS so §11.4.50 + anti-bluff are untouched; (3)</w:t>
      </w:r>
      <w:r>
        <w:t xml:space="preserve"> </w:t>
      </w:r>
      <w:r>
        <w:rPr>
          <w:b/>
          <w:bCs/>
        </w:rPr>
        <w:t xml:space="preserve">thin always-loaded INDEX + on-demand detail</w:t>
      </w:r>
      <w:r>
        <w:t xml:space="preserve"> </w:t>
      </w:r>
      <w:r>
        <w:t xml:space="preserve">— concise index (one line per fix/anchor, EACH carrying the literal</w:t>
      </w:r>
      <w:r>
        <w:t xml:space="preserve"> </w:t>
      </w:r>
      <w:r>
        <w:rPr>
          <w:rStyle w:val="VerbatimChar"/>
        </w:rPr>
        <w:t xml:space="preserve">11.4.N</w:t>
      </w:r>
      <w:r>
        <w:t xml:space="preserve"> </w:t>
      </w:r>
      <w:r>
        <w:t xml:space="preserve">token so propagation gates pass) with the canonical full text kept gate-scanned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and reachable in one hop — a de-duplication realising §11.4.35, never a deletion; (4)</w:t>
      </w:r>
      <w:r>
        <w:t xml:space="preserve"> </w:t>
      </w:r>
      <w:r>
        <w:rPr>
          <w:b/>
          <w:bCs/>
        </w:rPr>
        <w:t xml:space="preserve">CodeGraph/retrieval-first over full-file loading</w:t>
      </w:r>
      <w:r>
        <w:t xml:space="preserve"> </w:t>
      </w:r>
      <w:r>
        <w:t xml:space="preserve">(§11.4.78/§11.4.79); (5)</w:t>
      </w:r>
      <w:r>
        <w:t xml:space="preserve"> </w:t>
      </w:r>
      <w:r>
        <w:rPr>
          <w:b/>
          <w:bCs/>
        </w:rPr>
        <w:t xml:space="preserve">output-token reduction</w:t>
      </w:r>
      <w:r>
        <w:t xml:space="preserve"> </w:t>
      </w:r>
      <w:r>
        <w:t xml:space="preserve">— terse status +</w:t>
      </w:r>
      <w:r>
        <w:t xml:space="preserve"> </w:t>
      </w:r>
      <w:r>
        <w:rPr>
          <w:rStyle w:val="VerbatimChar"/>
        </w:rPr>
        <w:t xml:space="preserve">effort:"low"</w:t>
      </w:r>
      <w:r>
        <w:t xml:space="preserve"> </w:t>
      </w:r>
      <w:r>
        <w:t xml:space="preserve">on the mechanical allowlist only; (6)</w:t>
      </w:r>
      <w:r>
        <w:t xml:space="preserve"> </w:t>
      </w:r>
      <w:r>
        <w:rPr>
          <w:b/>
          <w:bCs/>
        </w:rPr>
        <w:t xml:space="preserve">tool-call batching + no re-reads</w:t>
      </w:r>
      <w:r>
        <w:t xml:space="preserve">; (7)</w:t>
      </w:r>
      <w:r>
        <w:t xml:space="preserve"> </w:t>
      </w:r>
      <w:r>
        <w:rPr>
          <w:b/>
          <w:bCs/>
        </w:rPr>
        <w:t xml:space="preserve">compaction/context-editing for long sessions</w:t>
      </w:r>
      <w:r>
        <w:t xml:space="preserve">.</w:t>
      </w:r>
      <w:r>
        <w:t xml:space="preserve"> </w:t>
      </w:r>
      <w:r>
        <w:rPr>
          <w:b/>
          <w:bCs/>
        </w:rPr>
        <w:t xml:space="preserve">Mandatory measured proof:</w:t>
      </w:r>
      <w:r>
        <w:t xml:space="preserve"> </w:t>
      </w:r>
      <w:r>
        <w:t xml:space="preserve">a token-accounting harness measures tokens-per-development-cycle BEFORE vs AFTER on a frozen deterministic workload from the authoritative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 (input/cache_read/cache_creation/output split; NEVER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, NEVER the client-side cost estimate), reproduced N times (§11.4.50), pass = AFTER ≤ 40% of BEFORE OR the measured best-safe reduction with a cited cold-cache reason; the AFTER run MUST show ZERO regression on the pre-build sweep + meta-test mutation sweep + propagation gates + a strong-model reasoning probe + a cache-warm proof (</w:t>
      </w:r>
      <w:r>
        <w:rPr>
          <w:rStyle w:val="VerbatimChar"/>
        </w:rPr>
        <w:t xml:space="preserve">cache_read_input_tokens &gt; 0</w:t>
      </w:r>
      <w:r>
        <w:t xml:space="preserve">) — cost reduction with quality regression is a §11.4 FAIL. The headline number is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reduction, never the design estimate (§11.4.6/§11.4.123). No measure may break/degrade any existing mechanism, and the rule is structured so none can. Composes §11.4.5/.6/.20/.40/.50/.58/.69/.70/.78/.79/.80/.103/.106/.123/.125/.128/§12.6/§1.1. Classification: universal (§11.4.17). Propagation gate</w:t>
      </w:r>
      <w:r>
        <w:t xml:space="preserve"> </w:t>
      </w:r>
      <w:r>
        <w:rPr>
          <w:rStyle w:val="VerbatimChar"/>
        </w:rPr>
        <w:t xml:space="preserve">CM-COVENANT-114-141-PROPAGATION</w:t>
      </w:r>
      <w:r>
        <w:t xml:space="preserve"> </w:t>
      </w:r>
      <w:r>
        <w:t xml:space="preserve">(literal</w:t>
      </w:r>
      <w:r>
        <w:t xml:space="preserve"> </w:t>
      </w:r>
      <w:r>
        <w:rPr>
          <w:rStyle w:val="VerbatimChar"/>
        </w:rPr>
        <w:t xml:space="preserve">11.4.141</w:t>
      </w:r>
      <w:r>
        <w:t xml:space="preserve">) + recommended gate</w:t>
      </w:r>
      <w:r>
        <w:t xml:space="preserve"> </w:t>
      </w:r>
      <w:r>
        <w:rPr>
          <w:rStyle w:val="VerbatimChar"/>
        </w:rPr>
        <w:t xml:space="preserve">CM-TOKEN-EFFICIENCY</w:t>
      </w:r>
      <w:r>
        <w:t xml:space="preserve"> </w:t>
      </w:r>
      <w:r>
        <w:t xml:space="preserve">+ paired §1.1 mutation (inject a pre-breakpoint volatile token → cache collapses → measured reduction falls below bar → gate FAILs).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 Non-compliance is a release blocker. No escape hatch — no</w:t>
      </w:r>
      <w:r>
        <w:t xml:space="preserve"> </w:t>
      </w:r>
      <w:r>
        <w:rPr>
          <w:rStyle w:val="VerbatimChar"/>
        </w:rPr>
        <w:t xml:space="preserve">--skip-token-efficiency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--no-cache-governance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--assert-reduction-without-measuring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--tier-down-reasoning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--inline-all-governance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--tiktoken-estimate-OK</w:t>
      </w:r>
      <w:r>
        <w:t xml:space="preserve"> </w:t>
      </w:r>
      <w:r>
        <w:t xml:space="preserve">flag.</w:t>
      </w:r>
    </w:p>
    <w:bookmarkEnd w:id="12"/>
    <w:bookmarkStart w:id="13" w:name="when-in-doubt"/>
    <w:p>
      <w:pPr>
        <w:pStyle w:val="Heading2"/>
      </w:pPr>
      <w:r>
        <w:t xml:space="preserve">When in doubt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for the canonical text of every rule.</w:t>
      </w:r>
    </w:p>
    <w:p>
      <w:pPr>
        <w:pStyle w:val="Compact"/>
        <w:numPr>
          <w:ilvl w:val="0"/>
          <w:numId w:val="1001"/>
        </w:numPr>
      </w:pPr>
      <w:r>
        <w:t xml:space="preserve">Cross-reference the sibling carriers 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</w:t>
      </w:r>
      <w:r>
        <w:t xml:space="preserve"> </w:t>
      </w:r>
      <w:r>
        <w:t xml:space="preserve">— they carry the same universal content for their respective agents.</w:t>
      </w:r>
    </w:p>
    <w:p>
      <w:pPr>
        <w:pStyle w:val="Compact"/>
        <w:numPr>
          <w:ilvl w:val="0"/>
          <w:numId w:val="1001"/>
        </w:numPr>
      </w:pPr>
      <w:r>
        <w:t xml:space="preserve">If still unclear, ask the operator. Do NOT guess. Do NOT bluff (§11.4.6).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GEMINI</dc:title>
  <dc:creator/>
  <dc:language>en</dc:language>
  <cp:keywords/>
  <dcterms:created xsi:type="dcterms:W3CDTF">2026-06-09T15:04:17Z</dcterms:created>
  <dcterms:modified xsi:type="dcterms:W3CDTF">2026-06-09T15:04:17Z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