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2"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68</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§11.4.140 (canonical translation pipeline) / §11.4.141 (independent per-language translation review — from PASS/FAIL accuracy to context+spirit native polish; the KNOWN operator-owned §11.4.54 anchor-number collision on 11.4.140/11.4.141 cited strictly in those senses, re-mint still operator-owned,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r>
        <w:t xml:space="preserve"> </w:t>
      </w:r>
      <w:r>
        <w:rPr>
          <w:b/>
          <w:bCs/>
        </w:rPr>
        <w:t xml:space="preserve">EXCEPTION (operator</w:t>
      </w:r>
      <w:r>
        <w:rPr>
          <w:b/>
          <w:bCs/>
        </w:rPr>
        <w:t xml:space="preserve"> </w:t>
      </w:r>
      <w:r>
        <w:rPr>
          <w:b/>
          <w:bCs/>
        </w:rPr>
        <w:t xml:space="preserve">Option-2, 2026-07-07; §11.4.28(C) carve-out):</w:t>
      </w:r>
      <w:r>
        <w:t xml:space="preserve"> </w:t>
      </w:r>
      <w:r>
        <w:t xml:space="preserve">the constitution</w:t>
      </w:r>
      <w:r>
        <w:t xml:space="preserve"> </w:t>
      </w:r>
      <w:r>
        <w:t xml:space="preserve">submodule ITSELF MAY host depth-1 reusable-engine submodules under</w:t>
      </w:r>
      <w:r>
        <w:t xml:space="preserve"> </w:t>
      </w:r>
      <w:r>
        <w:rPr>
          <w:rStyle w:val="VerbatimChar"/>
        </w:rPr>
        <w:t xml:space="preserve">constitution/submodules/&lt;name&gt;/</w:t>
      </w:r>
      <w:r>
        <w:t xml:space="preserve">, PROVIDED each ships a §11.4.31</w:t>
      </w:r>
      <w:r>
        <w:t xml:space="preserve"> </w:t>
      </w:r>
      <w:r>
        <w:rPr>
          <w:rStyle w:val="VerbatimChar"/>
        </w:rPr>
        <w:t xml:space="preserve">helix-deps.yaml</w:t>
      </w:r>
      <w:r>
        <w:t xml:space="preserve"> </w:t>
      </w:r>
      <w:r>
        <w:t xml:space="preserve">AND nests zero further own-org submodules</w:t>
      </w:r>
      <w:r>
        <w:t xml:space="preserve"> </w:t>
      </w:r>
      <w:r>
        <w:t xml:space="preserve">(depth-1 only, no recursive chain). This applies to NO other</w:t>
      </w:r>
      <w:r>
        <w:t xml:space="preserve"> </w:t>
      </w:r>
      <w:r>
        <w:t xml:space="preserve">submodule — consumer submodules stay forbidden from nesting.</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Compact"/>
        <w:numPr>
          <w:ilvl w:val="0"/>
          <w:numId w:val="1015"/>
        </w:numPr>
      </w:pPr>
      <w:r>
        <w:t xml:space="preserve">§11.4.48 — UI-driven video testing mandate (User mandate, 2026-05-18) [full → CLAUDE_ANCHORS_FULL.md + Constitution.md] · refs: §11.4.4 §11.4.11 §11.4.12 §11.4.13 §11.4.15 §11.4.16 §11.4.19 §11.4.44 §11.4.48 §11.4.53 §11.4.66</w:t>
      </w:r>
    </w:p>
    <w:p>
      <w:pPr>
        <w:pStyle w:val="Compact"/>
        <w:numPr>
          <w:ilvl w:val="0"/>
          <w:numId w:val="1015"/>
        </w:numPr>
      </w:pPr>
      <w:r>
        <w:t xml:space="preserve">§11.4.49 — Dual-approach testing mandate (User mandate, 2026-05-18) [full → CLAUDE_ANCHORS_FULL.md + Constitution.md] · refs: §11.4.43 §11.4.48 §11.4.49</w:t>
      </w:r>
    </w:p>
    <w:p>
      <w:pPr>
        <w:pStyle w:val="Compact"/>
        <w:numPr>
          <w:ilvl w:val="0"/>
          <w:numId w:val="1015"/>
        </w:numPr>
      </w:pPr>
      <w:r>
        <w:t xml:space="preserve">§11.4.50 — Deterministic consistency mandate (User mandate, 2026-05-18) [full → CLAUDE_ANCHORS_FULL.md + Constitution.md] · refs: §11.4.7 §11.4.50</w:t>
      </w:r>
    </w:p>
    <w:p>
      <w:pPr>
        <w:pStyle w:val="Compact"/>
        <w:numPr>
          <w:ilvl w:val="0"/>
          <w:numId w:val="1015"/>
        </w:numPr>
      </w:pPr>
      <w:r>
        <w:t xml:space="preserve">§11.4.51 — Live-ADB-First Maximization Mandate (User mandate, 2026-05-18) [full → CLAUDE_ANCHORS_FULL.md + Constitution.md] · refs: §11.4.6 §11.4.43 §11.4.51</w:t>
      </w:r>
    </w:p>
    <w:p>
      <w:pPr>
        <w:pStyle w:val="Compact"/>
        <w:numPr>
          <w:ilvl w:val="0"/>
          <w:numId w:val="1015"/>
        </w:numPr>
      </w:pPr>
      <w:r>
        <w:t xml:space="preserve">§11.4.52 — Autonomous-Validation Mandate (User mandate, 2026-05-18) [full → CLAUDE_ANCHORS_FULL.md + Constitution.md] · refs: §11.4.52</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6"/>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Compact"/>
        <w:numPr>
          <w:ilvl w:val="0"/>
          <w:numId w:val="1017"/>
        </w:numPr>
      </w:pPr>
      <w:r>
        <w:t xml:space="preserve">§11.4.53 — Fixed_Summary parity mandate (User mandate, 2026-05-18) [full → CLAUDE_ANCHORS_FULL.md + Constitution.md] · refs: §11.4.53</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Compact"/>
        <w:numPr>
          <w:ilvl w:val="0"/>
          <w:numId w:val="1018"/>
        </w:numPr>
      </w:pPr>
      <w:r>
        <w:t xml:space="preserve">§11.4.54 — ATM-NNN ticket identifier mandate (User mandate, 2026-05-19) [full → CLAUDE_ANCHORS_FULL.md + Constitution.md] · refs: §11.4.54</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Compact"/>
        <w:numPr>
          <w:ilvl w:val="0"/>
          <w:numId w:val="1019"/>
        </w:numPr>
      </w:pPr>
      <w:r>
        <w:t xml:space="preserve">§11.4.55 — Reopens-history tracking + per-item Reopens.md doc (User mandate, 2026-05-19) [full → CLAUDE_ANCHORS_FULL.md + Constitution.md] · refs: §11.4.55</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Compact"/>
        <w:numPr>
          <w:ilvl w:val="0"/>
          <w:numId w:val="1020"/>
        </w:numPr>
      </w:pPr>
      <w:r>
        <w:t xml:space="preserve">§11.4.56 — Status_Summary parity + two-audience format (User mandate, 2026-05-19) [full → CLAUDE_ANCHORS_FULL.md + Constitution.md] · refs: §11.4.56</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Compact"/>
        <w:numPr>
          <w:ilvl w:val="0"/>
          <w:numId w:val="1021"/>
        </w:numPr>
      </w:pPr>
      <w:r>
        <w:t xml:space="preserve">§11.4.57 — README.md doc-link section + revision metadata (User mandate, 2026-05-19) [full → CLAUDE_ANCHORS_FULL.md + Constitution.md] · refs: §11.4.57</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Compact"/>
        <w:numPr>
          <w:ilvl w:val="0"/>
          <w:numId w:val="1022"/>
        </w:numPr>
      </w:pPr>
      <w:r>
        <w:t xml:space="preserve">§11.4.58 — Parallel-development methodology (User mandate, 2026-05-19) [full → CLAUDE_ANCHORS_FULL.md + Constitution.md] · refs: §11.4.58</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23"/>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Compact"/>
        <w:numPr>
          <w:ilvl w:val="0"/>
          <w:numId w:val="1024"/>
        </w:numPr>
      </w:pPr>
      <w:r>
        <w:t xml:space="preserve">§11.4.59 — README always-sync mandate (User mandate, 2026-05-19) [full → CLAUDE_ANCHORS_FULL.md + Constitution.md] · refs: §11.4.12 §11.4.18 §11.4.44 §11.4.45 §11.4.53 §11.4.56 §11.4.57 §11.4.59</w:t>
      </w:r>
    </w:p>
    <w:p>
      <w:pPr>
        <w:pStyle w:val="Compact"/>
        <w:numPr>
          <w:ilvl w:val="0"/>
          <w:numId w:val="1024"/>
        </w:numPr>
      </w:pPr>
      <w:r>
        <w:t xml:space="preserve">§11.4.60 — Documentation always-sync composite covenant (User mandate, 2026-05-19) [full → CLAUDE_ANCHORS_FULL.md + Constitution.md] · refs: §11.4.12 §11.4.15 §11.4.16 §11.4.19 §11.4.23 §11.4.33 §11.4.44 §11.4.45 §11.4.53 §11.4.56 §11.4.57 §11.4.59 §11.4.60</w:t>
      </w:r>
    </w:p>
    <w:p>
      <w:pPr>
        <w:pStyle w:val="Compact"/>
        <w:numPr>
          <w:ilvl w:val="0"/>
          <w:numId w:val="1024"/>
        </w:numPr>
      </w:pPr>
      <w:r>
        <w:t xml:space="preserve">§11.4.63 — Workable-items procedure docs as single source of truth (User mandate, 2026-05-19) [full → CLAUDE_ANCHORS_FULL.md + Constitution.md] · refs: §11.4.44 §11.4.63</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25"/>
        </w:numPr>
      </w:pPr>
      <w:r>
        <w:t xml:space="preserve">Suspending the host (</w:t>
      </w:r>
      <w:r>
        <w:rPr>
          <w:rStyle w:val="VerbatimChar"/>
        </w:rPr>
        <w:t xml:space="preserve">systemctl suspend</w:t>
      </w:r>
      <w:r>
        <w:t xml:space="preserve">, etc.).</w:t>
      </w:r>
    </w:p>
    <w:p>
      <w:pPr>
        <w:pStyle w:val="Compact"/>
        <w:numPr>
          <w:ilvl w:val="0"/>
          <w:numId w:val="1025"/>
        </w:numPr>
      </w:pPr>
      <w:r>
        <w:t xml:space="preserve">Hibernating / hybrid-sleeping the host.</w:t>
      </w:r>
    </w:p>
    <w:p>
      <w:pPr>
        <w:pStyle w:val="Compact"/>
        <w:numPr>
          <w:ilvl w:val="0"/>
          <w:numId w:val="1025"/>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25"/>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25"/>
        </w:numPr>
      </w:pPr>
      <w:r>
        <w:t xml:space="preserve">Programmatic rfkill toggles, lid-switch handlers, power-button</w:t>
      </w:r>
      <w:r>
        <w:t xml:space="preserve"> </w:t>
      </w:r>
      <w:r>
        <w:t xml:space="preserve">handlers — these cascade into idle-actions.</w:t>
      </w:r>
    </w:p>
    <w:p>
      <w:pPr>
        <w:pStyle w:val="Compact"/>
        <w:numPr>
          <w:ilvl w:val="0"/>
          <w:numId w:val="1025"/>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6"/>
        </w:numPr>
      </w:pPr>
      <w:r>
        <w:t xml:space="preserve">Source the project's host-safety helper library.</w:t>
      </w:r>
    </w:p>
    <w:p>
      <w:pPr>
        <w:pStyle w:val="Compact"/>
        <w:numPr>
          <w:ilvl w:val="0"/>
          <w:numId w:val="1026"/>
        </w:numPr>
      </w:pPr>
      <w:r>
        <w:t xml:space="preserve">Call its pre-flight check and abort if it fails.</w:t>
      </w:r>
    </w:p>
    <w:p>
      <w:pPr>
        <w:pStyle w:val="Compact"/>
        <w:numPr>
          <w:ilvl w:val="0"/>
          <w:numId w:val="1026"/>
        </w:numPr>
      </w:pPr>
      <w:r>
        <w:t xml:space="preserve">Wrap any subprocess expected to exceed ~4 GiB RSS in a bounded</w:t>
      </w:r>
      <w:r>
        <w:t xml:space="preserve"> </w:t>
      </w:r>
      <w:r>
        <w:t xml:space="preserve">execution scope.</w:t>
      </w:r>
    </w:p>
    <w:p>
      <w:pPr>
        <w:pStyle w:val="Compact"/>
        <w:numPr>
          <w:ilvl w:val="0"/>
          <w:numId w:val="1026"/>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7"/>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7"/>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7"/>
        </w:numPr>
      </w:pPr>
      <w:r>
        <w:rPr>
          <w:b/>
          <w:bCs/>
        </w:rPr>
        <w:t xml:space="preserve">Define expected post-op state</w:t>
      </w:r>
      <w:r>
        <w:t xml:space="preserve">.</w:t>
      </w:r>
    </w:p>
    <w:p>
      <w:pPr>
        <w:pStyle w:val="Compact"/>
        <w:numPr>
          <w:ilvl w:val="0"/>
          <w:numId w:val="1027"/>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7"/>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7"/>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7"/>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8"/>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8"/>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8"/>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8"/>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9"/>
        </w:numPr>
      </w:pPr>
      <w:r>
        <w:rPr>
          <w:b/>
          <w:bCs/>
        </w:rPr>
        <w:t xml:space="preserve">Pre-build / pre-merge verification</w:t>
      </w:r>
      <w:r>
        <w:t xml:space="preserve"> </w:t>
      </w:r>
      <w:r>
        <w:t xml:space="preserve">— BEFORE every build.</w:t>
      </w:r>
    </w:p>
    <w:p>
      <w:pPr>
        <w:pStyle w:val="Compact"/>
        <w:numPr>
          <w:ilvl w:val="0"/>
          <w:numId w:val="1029"/>
        </w:numPr>
      </w:pPr>
      <w:r>
        <w:rPr>
          <w:b/>
          <w:bCs/>
        </w:rPr>
        <w:t xml:space="preserve">Post-build / packaging verification</w:t>
      </w:r>
      <w:r>
        <w:t xml:space="preserve"> </w:t>
      </w:r>
      <w:r>
        <w:t xml:space="preserve">— AFTER every build.</w:t>
      </w:r>
    </w:p>
    <w:p>
      <w:pPr>
        <w:pStyle w:val="Compact"/>
        <w:numPr>
          <w:ilvl w:val="0"/>
          <w:numId w:val="1029"/>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30"/>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30"/>
        </w:numPr>
      </w:pPr>
      <w:r>
        <w:t xml:space="preserve">Static analyzers / linters / type-checkers MUST run clean (zero</w:t>
      </w:r>
      <w:r>
        <w:t xml:space="preserve"> </w:t>
      </w:r>
      <w:r>
        <w:t xml:space="preserve">warnings) before commit.</w:t>
      </w:r>
    </w:p>
    <w:p>
      <w:pPr>
        <w:pStyle w:val="Compact"/>
        <w:numPr>
          <w:ilvl w:val="0"/>
          <w:numId w:val="1030"/>
        </w:numPr>
      </w:pPr>
      <w:r>
        <w:t xml:space="preserve">Style is set by the project's formatter; do not hand-edit style</w:t>
      </w:r>
      <w:r>
        <w:t xml:space="preserve"> </w:t>
      </w:r>
      <w:r>
        <w:t xml:space="preserve">in PRs.</w:t>
      </w:r>
    </w:p>
    <w:p>
      <w:pPr>
        <w:pStyle w:val="Compact"/>
        <w:numPr>
          <w:ilvl w:val="0"/>
          <w:numId w:val="1030"/>
        </w:numPr>
      </w:pPr>
      <w:r>
        <w:t xml:space="preserve">Public APIs are documented at the source.</w:t>
      </w:r>
    </w:p>
    <w:bookmarkEnd w:id="68"/>
    <w:bookmarkStart w:id="121" w:name="when-in-doubt"/>
    <w:p>
      <w:pPr>
        <w:pStyle w:val="Heading2"/>
      </w:pPr>
      <w:r>
        <w:t xml:space="preserve">When in doubt</w:t>
      </w:r>
    </w:p>
    <w:p>
      <w:pPr>
        <w:pStyle w:val="Compact"/>
        <w:numPr>
          <w:ilvl w:val="0"/>
          <w:numId w:val="1031"/>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31"/>
        </w:numPr>
      </w:pPr>
      <w:r>
        <w:t xml:space="preserve">Cross-reference the project's CLAUDE.md / AGENTS.md for project-</w:t>
      </w:r>
      <w:r>
        <w:t xml:space="preserve"> </w:t>
      </w:r>
      <w:r>
        <w:t xml:space="preserve">specific extensions.</w:t>
      </w:r>
    </w:p>
    <w:p>
      <w:pPr>
        <w:pStyle w:val="Compact"/>
        <w:numPr>
          <w:ilvl w:val="0"/>
          <w:numId w:val="1031"/>
        </w:numPr>
      </w:pPr>
      <w:r>
        <w:t xml:space="preserve">If still unclear, ask the operator. Do NOT guess. Do NOT bluff.</w:t>
      </w:r>
    </w:p>
    <w:p>
      <w:r>
        <w:pict>
          <v:rect style="width:0;height:1.5pt" o:hralign="center" o:hrstd="t" o:hr="t"/>
        </w:pict>
      </w:r>
    </w:p>
    <w:p>
      <w:pPr>
        <w:pStyle w:val="Compact"/>
        <w:numPr>
          <w:ilvl w:val="0"/>
          <w:numId w:val="1032"/>
        </w:numPr>
      </w:pPr>
      <w:r>
        <w:t xml:space="preserve">§11.4.65 — Universal Markdown export mandate (User mandate, 2026-05-19) [full → CLAUDE_ANCHORS_FULL.md + Constitution.md] · refs: §11.4.12 §11.4.18 §11.4.23 §11.4.44 §11.4.45 §11.4.53 §11.4.59 §11.4.60 §11.4.63 §11.4.64 §11.4.65</w:t>
      </w:r>
    </w:p>
    <w:p>
      <w:pPr>
        <w:pStyle w:val="Compact"/>
        <w:numPr>
          <w:ilvl w:val="0"/>
          <w:numId w:val="1032"/>
        </w:numPr>
      </w:pPr>
      <w:r>
        <w:t xml:space="preserve">§11.4.66 — Blocker-resolution interactive-clarification mandate (User mandate, 2026-05-19) [full → CLAUDE_ANCHORS_FULL.md + Constitution.md] · refs: §11.4.6 §11.4.7 §11.4.40 §11.4.41 §11.4.42 §11.4.52 §11.4.66</w:t>
      </w:r>
    </w:p>
    <w:p>
      <w:pPr>
        <w:pStyle w:val="Compact"/>
        <w:numPr>
          <w:ilvl w:val="0"/>
          <w:numId w:val="1032"/>
        </w:numPr>
      </w:pPr>
      <w:r>
        <w:t xml:space="preserve">§11.4.67 — Shell-script target-shell-parseability mandate (User mandate, 2026-05-19) [full → CLAUDE_ANCHORS_FULL.md + Constitution.md] · refs: §11.4.1 §11.4.4 §11.4.6 §11.4.50 §11.4.51 §11.4.67</w:t>
      </w:r>
    </w:p>
    <w:p>
      <w:pPr>
        <w:pStyle w:val="Compact"/>
        <w:numPr>
          <w:ilvl w:val="0"/>
          <w:numId w:val="1032"/>
        </w:numPr>
      </w:pPr>
      <w:r>
        <w:t xml:space="preserve">§11.4.68 — Positive sink-side / downstream evidence mandate (User mandate, 2026-05-20) [full → CLAUDE_ANCHORS_FULL.md + Constitution.md] · refs: §11.4.2 §11.4.5 §11.4.13 §11.4.14 §11.4.46 §11.4.49 §11.4.50 §11.4.52 §11.4.68</w:t>
      </w:r>
    </w:p>
    <w:p>
      <w:pPr>
        <w:pStyle w:val="Compact"/>
        <w:numPr>
          <w:ilvl w:val="0"/>
          <w:numId w:val="1032"/>
        </w:numPr>
      </w:pPr>
      <w:r>
        <w:t xml:space="preserve">§11.4.69 — Universal sink-side positive-evidence taxonomy + mechanical enforcement (User mandate, 2026-05-20) [full → CLAUDE_ANCHORS_FULL.md + Constitution.md] · refs: §11.4.69</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3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3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3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3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3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3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Compact"/>
        <w:numPr>
          <w:ilvl w:val="0"/>
          <w:numId w:val="1035"/>
        </w:numPr>
      </w:pPr>
      <w:r>
        <w:t xml:space="preserve">§11.4.70 — Subagent-driven execution is the default (User mandate, 2026-05-20) [full → CLAUDE_ANCHORS_FULL.md + Constitution.md] · refs: §11.4.70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Compact"/>
        <w:numPr>
          <w:ilvl w:val="0"/>
          <w:numId w:val="1036"/>
        </w:numPr>
      </w:pPr>
      <w:r>
        <w:t xml:space="preserve">§11.4.71 — Pre-Push Fetch + Investigate + Integrate Mandate (User mandate, 2026-05-20) [full → CLAUDE_ANCHORS_FULL.md + Constitution.md] · refs: §11.4.4 §11.4.5 §11.4.6 §11.4.26 §11.4.32 §11.4.37 §11.4.40 §11.4.41 §11.4.42 §11.4.43 §11.4.71</w:t>
      </w:r>
    </w:p>
    <w:p>
      <w:pPr>
        <w:pStyle w:val="Compact"/>
        <w:numPr>
          <w:ilvl w:val="0"/>
          <w:numId w:val="1036"/>
        </w:numPr>
      </w:pPr>
      <w:r>
        <w:t xml:space="preserve">§11.4.72 — Audio Top-Priority Mandate (User mandate, 2026-05-20) [full → CLAUDE_ANCHORS_FULL.md + Constitution.md] · refs: §11.4.42 §11.4.58 §11.4.72</w:t>
      </w:r>
    </w:p>
    <w:p>
      <w:pPr>
        <w:pStyle w:val="Compact"/>
        <w:numPr>
          <w:ilvl w:val="0"/>
          <w:numId w:val="1036"/>
        </w:numPr>
      </w:pPr>
      <w:r>
        <w:t xml:space="preserve">§11.4.73 — Main-specification document versioning + revision discipline (User mandate, 2026-05-20) [full → CLAUDE_ANCHORS_FULL.md + Constitution.md] · refs: §11.4.44 §11.4.59 §11.4.61 §11.4.65 §11.4.73</w:t>
      </w:r>
    </w:p>
    <w:p>
      <w:pPr>
        <w:pStyle w:val="Compact"/>
        <w:numPr>
          <w:ilvl w:val="0"/>
          <w:numId w:val="1036"/>
        </w:numPr>
      </w:pPr>
      <w:r>
        <w:t xml:space="preserve">§11.4.74 — Submodule-catalogue-first discovery + extend-don't-reimplement (User mandate, 2026-05-20) [full → CLAUDE_ANCHORS_FULL.md + Constitution.md] · refs: §11.4.10 §11.4.61 §11.4.65 §11.4.73 §11.4.74</w:t>
      </w:r>
    </w:p>
    <w:p>
      <w:pPr>
        <w:pStyle w:val="Compact"/>
        <w:numPr>
          <w:ilvl w:val="0"/>
          <w:numId w:val="1036"/>
        </w:numPr>
      </w:pPr>
      <w:r>
        <w:t xml:space="preserve">§11.4.75 — Mechanical Enforcement Without Exception (User mandate, 2026-05-20) [full → CLAUDE_ANCHORS_FULL.md + Constitution.md] · refs: §11.4.40 §11.4.41 §11.4.65 §11.4.66 §11.4.67 §11.4.71 §11.4.72 §11.4.73 §11.4.74 §11.4.75</w:t>
      </w:r>
    </w:p>
    <w:p>
      <w:pPr>
        <w:pStyle w:val="Compact"/>
        <w:numPr>
          <w:ilvl w:val="0"/>
          <w:numId w:val="1036"/>
        </w:numPr>
      </w:pPr>
      <w:r>
        <w:t xml:space="preserve">§11.4.76 — Containers-submodule mandate (User mandate, 2026-05-20) [full → CLAUDE_ANCHORS_FULL.md + Constitution.md] · refs: §11.4.28 §11.4.31 §11.4.36 §11.4.71 §11.4.74 §11.4.75 §11.4.76</w:t>
      </w:r>
    </w:p>
    <w:p>
      <w:pPr>
        <w:pStyle w:val="Compact"/>
        <w:numPr>
          <w:ilvl w:val="0"/>
          <w:numId w:val="1036"/>
        </w:numPr>
      </w:pPr>
      <w:r>
        <w:t xml:space="preserve">§11.4.77 — Regeneration-mechanism-required mandate (User mandate, 2026-05-20) [full → CLAUDE_ANCHORS_FULL.md + Constitution.md] · refs: §11.4.6 §11.4.10 §11.4.65 §11.4.66 §11.4.71 §11.4.74 §11.4.75 §11.4.76 §11.4.77</w:t>
      </w:r>
    </w:p>
    <w:p>
      <w:pPr>
        <w:pStyle w:val="Compact"/>
        <w:numPr>
          <w:ilvl w:val="0"/>
          <w:numId w:val="1036"/>
        </w:numPr>
      </w:pPr>
      <w:r>
        <w:t xml:space="preserve">§11.4.78 — CodeGraph code-intelligence mandate (User mandate, 2026-05-20) [full → CLAUDE_ANCHORS_FULL.md + Constitution.md] · refs: §11.4.3 §11.4.10 §11.4.12 §11.4.17 §11.4.30 §11.4.35 §11.4.65 §11.4.74 §11.4.77 §11.4.78 §11.4.79</w:t>
      </w:r>
    </w:p>
    <w:p>
      <w:pPr>
        <w:pStyle w:val="Compact"/>
        <w:numPr>
          <w:ilvl w:val="0"/>
          <w:numId w:val="1036"/>
        </w:numPr>
      </w:pPr>
      <w:r>
        <w:t xml:space="preserve">§11.4.79 — Own-org submodules MUST be included in the CodeGraph index (User mandate, 2026-05-21) [full → CLAUDE_ANCHORS_FULL.md + Constitution.md] · refs: §11.4.10 §11.4.74 §11.4.78 §11.4.79</w:t>
      </w:r>
    </w:p>
    <w:p>
      <w:pPr>
        <w:pStyle w:val="Compact"/>
        <w:numPr>
          <w:ilvl w:val="0"/>
          <w:numId w:val="1036"/>
        </w:numPr>
      </w:pPr>
      <w:r>
        <w:t xml:space="preserve">§11.4.80 — CodeGraph regular-update + sync automation mandate (User mandate, 2026-05-21) [full → CLAUDE_ANCHORS_FULL.md + Constitution.md] · refs: §11.4.10 §11.4.45 §11.4.53 §11.4.65 §11.4.78 §11.4.79 §11.4.80</w:t>
      </w:r>
    </w:p>
    <w:p>
      <w:pPr>
        <w:pStyle w:val="Compact"/>
        <w:numPr>
          <w:ilvl w:val="0"/>
          <w:numId w:val="1036"/>
        </w:numPr>
      </w:pPr>
      <w:r>
        <w:t xml:space="preserve">§11.4.81 — Cross-platform-parity mandate (User mandate, 2026-05-21) [full → CLAUDE_ANCHORS_FULL.md + Constitution.md] · refs: §11.4.1 §11.4.2 §11.4.3 §11.4.4 §11.4.5 §11.4.6 §11.4.20 §11.4.27 §11.4.69 §11.4.70 §11.4.81</w:t>
      </w:r>
    </w:p>
    <w:p>
      <w:pPr>
        <w:pStyle w:val="Compact"/>
        <w:numPr>
          <w:ilvl w:val="0"/>
          <w:numId w:val="1036"/>
        </w:numPr>
      </w:pPr>
      <w:r>
        <w:t xml:space="preserve">§11.4.82 — Iteration-speedup discipline mandate (User mandate, 2026-05-22) [full → CLAUDE_ANCHORS_FULL.md + Constitution.md] · refs: §11.4.4 §11.4.6 §11.4.9 §11.4.20 §11.4.24 §11.4.42 §11.4.43 §11.4.50 §11.4.51 §11.4.52 §11.4.58 §11.4.70 §11.4.82</w:t>
      </w:r>
    </w:p>
    <w:bookmarkStart w:id="70"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7"/>
    <w:bookmarkStart w:id="78"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8"/>
    <w:bookmarkStart w:id="79"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79"/>
    <w:bookmarkStart w:id="80"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1"/>
    <w:bookmarkStart w:id="82"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2"/>
    <w:bookmarkStart w:id="83"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3"/>
    <w:bookmarkStart w:id="84"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4"/>
    <w:bookmarkStart w:id="85"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5"/>
    <w:bookmarkStart w:id="86"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Compact"/>
        <w:numPr>
          <w:ilvl w:val="0"/>
          <w:numId w:val="1037"/>
        </w:numPr>
      </w:pPr>
      <w:r>
        <w:t xml:space="preserve">§11.4.100 — RETIRED.** Demoted to consumer project (a consuming project's video-color/visual-quality fideli… [full → CLAUDE_ANCHORS_FULL.md + Constitution.md] · refs: §11.4.17 §11.4.35 §11.4.100</w:t>
      </w:r>
    </w:p>
    <w:bookmarkEnd w:id="86"/>
    <w:bookmarkStart w:id="87"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engaged the MOMENT an issue is detected (composes §11.4.126 default-autonomous-loop's from-first-prompt standing-default working mode). Before any such investigation proceeds, the</w:t>
      </w:r>
      <w:r>
        <w:t xml:space="preserve"> </w:t>
      </w:r>
      <w:r>
        <w:rPr>
          <w:rStyle w:val="VerbatimChar"/>
        </w:rPr>
        <w:t xml:space="preserve">superpowers</w:t>
      </w:r>
      <w:r>
        <w:t xml:space="preserve"> </w:t>
      </w:r>
      <w:r>
        <w:t xml:space="preserve">plugin +</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is itself a §11.4.102(D) violation — clause (A) is NOT a prompt-gated option, it is a standing mechanical default engaged automatically the instant a problem surfaces. STRENGTHENS clause (A) (prompt-independent + standing-default), never weakens it: (A)/(B)/(C) + the four-phase-arc + the Iron-Law ("NO FIXES WITHOUT ROOT CAUSE INVESTIGATION FIRST") preserved in full.</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§11.4.126 (default-autonomous-loop — §11.4.102(D)'s always-on-by-default activation mirrors §11.4.126's from-first-prompt standing default).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0"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Compact"/>
        <w:numPr>
          <w:ilvl w:val="0"/>
          <w:numId w:val="1038"/>
        </w:numPr>
      </w:pPr>
      <w:r>
        <w:t xml:space="preserve">§11.4.135 — Standing regression-guard suite + every-fixed-defect-gets-a-permanent-regression-test (User man… [full → CLAUDE_ANCHORS_FULL.md + Constitution.md] · refs: §11.4.4 §11.4.17 §11.4.40 §11.4.43 §11.4.46 §11.4.50 §11.4.107 §11.4.108 §11.4.115 §11.4.118 §11.4.123 §11.4.124 §11.4.130 §11.4.132 §11.4.135</w:t>
      </w:r>
    </w:p>
    <w:p>
      <w:pPr>
        <w:pStyle w:val="Compact"/>
        <w:numPr>
          <w:ilvl w:val="0"/>
          <w:numId w:val="1038"/>
        </w:numPr>
      </w:pPr>
      <w:r>
        <w:t xml:space="preserve">§11.4.136 — Real-content end-to-end playback-test mandate (User mandate, 2026-06-08).** Refines/strengthens… [full → CLAUDE_ANCHORS_FULL.md + Constitution.md] · refs: §11.4.1 §11.4.5 §11.4.13 §11.4.17 §11.4.48 §11.4.50 §11.4.69 §11.4.107 §11.4.117 §11.4.123 §11.4.136</w:t>
      </w:r>
    </w:p>
    <w:p>
      <w:pPr>
        <w:pStyle w:val="Compact"/>
        <w:numPr>
          <w:ilvl w:val="0"/>
          <w:numId w:val="1038"/>
        </w:numPr>
      </w:pPr>
      <w:r>
        <w:t xml:space="preserve">§11.4.137 — Subtitle/caption content-correctness oracle + secure-display-proxy-honesty mandate (User mandat… [full → CLAUDE_ANCHORS_FULL.md + Constitution.md] · refs: §11.4.3 §11.4.5 §11.4.6 §11.4.13 §11.4.17 §11.4.52 §11.4.69 §11.4.107 §11.4.108 §11.4.112 §11.4.115 §11.4.117 §11.4.123 §11.4.137</w:t>
      </w:r>
    </w:p>
    <w:p>
      <w:pPr>
        <w:pStyle w:val="Compact"/>
        <w:numPr>
          <w:ilvl w:val="0"/>
          <w:numId w:val="1038"/>
        </w:numPr>
      </w:pPr>
      <w:r>
        <w:t xml:space="preserve">§11.4.138 — Operator-escape =&gt; mandatory bluff-audit + permanent guard (User mandate, 2026-06-08).** When t… [full → CLAUDE_ANCHORS_FULL.md + Constitution.md] · refs: §11.4.1 §11.4.17 §11.4.102 §11.4.108 §11.4.115 §11.4.118 §11.4.123 §11.4.135 §11.4.138</w:t>
      </w:r>
    </w:p>
    <w:p>
      <w:pPr>
        <w:pStyle w:val="Compact"/>
        <w:numPr>
          <w:ilvl w:val="0"/>
          <w:numId w:val="1038"/>
        </w:numPr>
      </w:pPr>
      <w:r>
        <w:t xml:space="preserve">§11.4.139 — Fresh-process clean-artifact runtime-signature mandate (User mandate, 2026-06-08).** Refines §1… [full → CLAUDE_ANCHORS_FULL.md + Constitution.md] · refs: §11.4.17 §11.4.46 §11.4.108 §11.4.130 §11.4.135 §11.4.137 §11.4.139</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Compact"/>
        <w:numPr>
          <w:ilvl w:val="0"/>
          <w:numId w:val="1039"/>
        </w:numPr>
      </w:pPr>
      <w:r>
        <w:t xml:space="preserve">§11.4.141 — Token-efficiency mandate (research-derived + operator mandate, 2026-06-09).** Every project wor… [full → CLAUDE_ANCHORS_FULL.md + Constitution.md] · refs: §11.4.5 §11.4.6 §11.4.7 §11.4.17 §11.4.35 §11.4.50 §11.4.78 §11.4.79 §11.4.96 §11.4.102 §11.4.123 §11.4.125 §11.4.141</w:t>
      </w:r>
    </w:p>
    <w:p>
      <w:pPr>
        <w:pStyle w:val="Compact"/>
        <w:numPr>
          <w:ilvl w:val="0"/>
          <w:numId w:val="1039"/>
        </w:numPr>
      </w:pPr>
      <w:r>
        <w:t xml:space="preserve">§11.4.142 — Universal code-review mandate — every change reviewed, always, no exception (User mandate, 2026… [full → CLAUDE_ANCHORS_FULL.md + Constitution.md] · refs: §11.4.1 §11.4.4 §11.4.5 §11.4.6 §11.4.17 §11.4.20 §11.4.35 §11.4.40 §11.4.69 §11.4.70 §11.4.92 §11.4.108 §11.4.110 §11.4.125 §11.4.133 §11.4.134 §11.4.142</w:t>
      </w:r>
    </w:p>
    <w:p>
      <w:pPr>
        <w:pStyle w:val="Compact"/>
        <w:numPr>
          <w:ilvl w:val="0"/>
          <w:numId w:val="1039"/>
        </w:numPr>
      </w:pPr>
      <w:r>
        <w:t xml:space="preserve">§11.4.143 — Real-user-journey mandate for video-streaming-app full-automation tests (User mandate, 2026-06-… [full → CLAUDE_ANCHORS_FULL.md + Constitution.md] · refs: §11.4.3 §11.4.6 §11.4.10 §11.4.17 §11.4.35 §11.4.48 §11.4.52 §11.4.107 §11.4.112 §11.4.117 §11.4.136 §11.4.137 §11.4.143</w:t>
      </w:r>
    </w:p>
    <w:p>
      <w:pPr>
        <w:pStyle w:val="Compact"/>
        <w:numPr>
          <w:ilvl w:val="0"/>
          <w:numId w:val="1039"/>
        </w:numPr>
      </w:pPr>
      <w:r>
        <w:t xml:space="preserve">§11.4.144 — Tracked/recorded-device availability-following mandate (User mandate, 2026-06-10).** Direct ope… [full → CLAUDE_ANCHORS_FULL.md + Constitution.md] · refs: §11.4.6 §11.4.14 §11.4.17 §11.4.21 §11.4.35 §11.4.69 §11.4.101 §11.4.128 §11.4.144</w:t>
      </w:r>
    </w:p>
    <w:p>
      <w:pPr>
        <w:pStyle w:val="Compact"/>
        <w:numPr>
          <w:ilvl w:val="0"/>
          <w:numId w:val="1039"/>
        </w:numPr>
      </w:pPr>
      <w:r>
        <w:t xml:space="preserve">§11.4.145 — Independent multi-angle impact-research per change (User mandate, 2026-06-10).** For EVERY fix… [full → CLAUDE_ANCHORS_FULL.md + Constitution.md] · refs: §11.4.1 §11.4.5 §11.4.6 §11.4.17 §11.4.20 §11.4.40 §11.4.69 §11.4.70 §11.4.92 §11.4.108 §11.4.125 §11.4.133 §11.4.134 §11.4.145</w:t>
      </w:r>
    </w:p>
    <w:p>
      <w:pPr>
        <w:pStyle w:val="Compact"/>
        <w:numPr>
          <w:ilvl w:val="0"/>
          <w:numId w:val="1039"/>
        </w:numPr>
      </w:pPr>
      <w:r>
        <w:t xml:space="preserve">§11.4.146 — Reproduce-first test + same-test-confirms-fix + mandatory extend-to-all-cases workflow (User ma… [full → CLAUDE_ANCHORS_FULL.md + Constitution.md] · refs: §11.4.1 §11.4.3 §11.4.4 §11.4.5 §11.4.6 §11.4.8 §11.4.17 §11.4.43 §11.4.50 §11.4.69 §11.4.85 §11.4.99 §11.4.102 §11.4.107 §11.4.108 §11.4.115 §11.4.118 §11.4.123 §11.4.130 §11.4.135 §11.4.138 §11.4.139 §11.4.146</w:t>
      </w:r>
    </w:p>
    <w:p>
      <w:pPr>
        <w:pStyle w:val="Compact"/>
        <w:numPr>
          <w:ilvl w:val="0"/>
          <w:numId w:val="1039"/>
        </w:numPr>
      </w:pPr>
      <w:r>
        <w:t xml:space="preserve">§11.4.147 — Crashed-agent respawn-until-complete + no-work-loss registry mandate (User mandate, 2026-06-10)… [full → CLAUDE_ANCHORS_FULL.md + Constitution.md] · refs: §11.4.5 §11.4.6 §11.4.17 §11.4.40 §11.4.58 §11.4.69 §11.4.84 §11.4.87 §11.4.94 §11.4.97 §11.4.101 §11.4.102 §11.4.108 §11.4.116 §11.4.125 §11.4.126 §11.4.142 §11.4.144 §11.4.147</w:t>
      </w:r>
    </w:p>
    <w:p>
      <w:pPr>
        <w:pStyle w:val="Compact"/>
        <w:numPr>
          <w:ilvl w:val="0"/>
          <w:numId w:val="1039"/>
        </w:numPr>
      </w:pPr>
      <w:r>
        <w:t xml:space="preserve">§11.4.148 — Workable-item integrity (status+type+id) + comprehensive structured description + bidirectional… [full → CLAUDE_ANCHORS_FULL.md + Constitution.md] · refs: §11.4.5 §11.4.6 §11.4.10 §11.4.15 §11.4.16 §11.4.17 §11.4.21 §11.4.28 §11.4.33 §11.4.35 §11.4.54 §11.4.66 §11.4.69 §11.4.86 §11.4.91 §11.4.93 §11.4.95 §11.4.104 §11.4.106 §11.4.108 §11.4.115 §11.4.123 §11.4.148</w:t>
      </w:r>
    </w:p>
    <w:p>
      <w:pPr>
        <w:pStyle w:val="Compact"/>
        <w:numPr>
          <w:ilvl w:val="0"/>
          <w:numId w:val="1039"/>
        </w:numPr>
      </w:pPr>
      <w:r>
        <w:t xml:space="preserve">§11.4.149 — Per-workable-item testing-diary mandate (User mandate, 2026-06-10).** Every workable item MUST… [full → CLAUDE_ANCHORS_FULL.md + Constitution.md] · refs: §11.4.3 §11.4.6 §11.4.10 §11.4.17 §11.4.27 §11.4.28 §11.4.33 §11.4.35 §11.4.45 §11.4.55 §11.4.65 §11.4.69 §11.4.86 §11.4.93 §11.4.106 §11.4.132 §11.4.148 §11.4.149</w:t>
      </w:r>
    </w:p>
    <w:p>
      <w:pPr>
        <w:pStyle w:val="Compact"/>
        <w:numPr>
          <w:ilvl w:val="0"/>
          <w:numId w:val="1039"/>
        </w:numPr>
      </w:pPr>
      <w:r>
        <w:t xml:space="preserve">§11.4.150 — Mandatory deep multi-angle web research per change/issue, before declaring fixed or structural… [full → CLAUDE_ANCHORS_FULL.md + Constitution.md] · refs: §11.4.4 §11.4.6 §11.4.7 §11.4.8 §11.4.17 §11.4.20 §11.4.33 §11.4.34 §11.4.35 §11.4.40 §11.4.42 §11.4.55 §11.4.70 §11.4.89 §11.4.93 §11.4.94 §11.4.95 §11.4.97 §11.4.99 §11.4.101 §11.4.102 §11.4.103 §11.4.108 §11.4.112 §11.4.118 §11.4.123 §11.4.125 §11.4.126 §11.4.142 §11.4.145 §11.4.150</w:t>
      </w:r>
    </w:p>
    <w:p>
      <w:pPr>
        <w:pStyle w:val="Compact"/>
        <w:numPr>
          <w:ilvl w:val="0"/>
          <w:numId w:val="1039"/>
        </w:numPr>
      </w:pPr>
      <w:r>
        <w:t xml:space="preserve">§11.4.151 — Project-prefixed release-tag/version-naming mandate (User mandate, 2026-06-12).** Verbatim oper… [full → CLAUDE_ANCHORS_FULL.md + Constitution.md] · refs: §11.4.6 §11.4.17 §11.4.28 §11.4.29 §11.4.30 §11.4.35 §11.4.40 §11.4.77 §11.4.113 §11.4.126 §11.4.151</w:t>
      </w:r>
    </w:p>
    <w:p>
      <w:pPr>
        <w:pStyle w:val="Compact"/>
        <w:numPr>
          <w:ilvl w:val="0"/>
          <w:numId w:val="1039"/>
        </w:numPr>
      </w:pPr>
      <w:r>
        <w:t xml:space="preserve">§11.4.152 — Crashlytics-recorded-data continuous monitoring + systematic-debug + regression-test-coverage m… [full → CLAUDE_ANCHORS_FULL.md + Constitution.md] · refs: §11.4.5 §11.4.6 §11.4.9 §11.4.10 §11.4.17 §11.4.35 §11.4.43 §11.4.47 §11.4.102 §11.4.108 §11.4.115 §11.4.118 §11.4.123 §11.4.135 §11.4.138 §11.4.152</w:t>
      </w:r>
    </w:p>
    <w:p>
      <w:pPr>
        <w:pStyle w:val="Compact"/>
        <w:numPr>
          <w:ilvl w:val="0"/>
          <w:numId w:val="1039"/>
        </w:numPr>
      </w:pPr>
      <w:r>
        <w:t xml:space="preserve">§11.4.153 — Comprehensive per-feature Status + Status_Summary document set with mandatory video-recording c… [full → CLAUDE_ANCHORS_FULL.md + Constitution.md] · refs: §11.4.2 §11.4.3 §11.4.4 §11.4.5 §11.4.6 §11.4.17 §11.4.35 §11.4.40 §11.4.44 §11.4.45 §11.4.52 §11.4.56 §11.4.60 §11.4.65 §11.4.69 §11.4.74 §11.4.86 §11.4.102 §11.4.106 §11.4.107 §11.4.108 §11.4.118 §11.4.134 §11.4.146 §11.4.153 §11.4.159</w:t>
      </w:r>
    </w:p>
    <w:p>
      <w:pPr>
        <w:pStyle w:val="Compact"/>
        <w:numPr>
          <w:ilvl w:val="0"/>
          <w:numId w:val="1039"/>
        </w:numPr>
      </w:pPr>
      <w:r>
        <w:t xml:space="preserve">§11.4.154 — Window-scoped capture + fresh-corpus rotation for feature/QA recordings (User mandate, 2026-06-… [full → CLAUDE_ANCHORS_FULL.md + Constitution.md] · refs: §11.4.2 §11.4.3 §11.4.6 §11.4.10 §11.4.17 §11.4.83 §11.4.86 §11.4.107 §11.4.111 §11.4.122 §11.4.137 §11.4.154</w:t>
      </w:r>
    </w:p>
    <w:p>
      <w:pPr>
        <w:pStyle w:val="Compact"/>
        <w:numPr>
          <w:ilvl w:val="0"/>
          <w:numId w:val="1039"/>
        </w:numPr>
      </w:pPr>
      <w:r>
        <w:t xml:space="preserve">§11.4.155 — Project-name-prefixed feature/QA recording filenames (User mandate, 2026-06-15).** Verbatim: "A… [full → CLAUDE_ANCHORS_FULL.md + Constitution.md] · refs: §11.4.6 §11.4.17 §11.4.29 §11.4.30 §11.4.35 §11.4.77 §11.4.83 §11.4.107 §11.4.122 §11.4.128 §11.4.151 §11.4.153 §11.4.154 §11.4.155</w:t>
      </w:r>
    </w:p>
    <w:p>
      <w:pPr>
        <w:pStyle w:val="Compact"/>
        <w:numPr>
          <w:ilvl w:val="0"/>
          <w:numId w:val="1039"/>
        </w:numPr>
      </w:pPr>
      <w:r>
        <w:t xml:space="preserve">§11.4.156 — All CI/CD automation (GitHub Actions / GitLab pipelines / equivalents) MUST be disabled (User m… [full → CLAUDE_ANCHORS_FULL.md + Constitution.md] · refs: §11.4.6 §11.4.17 §11.4.29 §11.4.40 §11.4.75 §11.4.109 §11.4.156</w:t>
      </w:r>
    </w:p>
    <w:p>
      <w:pPr>
        <w:pStyle w:val="Compact"/>
        <w:numPr>
          <w:ilvl w:val="0"/>
          <w:numId w:val="1039"/>
        </w:numPr>
      </w:pPr>
      <w:r>
        <w:t xml:space="preserve">§11.4.157 — GEMINI.md maintained in lockstep with CLAUDE.md / AGENTS.md / QWEN.md (User mandate, 2026-06-15… [full → CLAUDE_ANCHORS_FULL.md + Constitution.md] · refs: §11.4.6 §11.4.17 §11.4.26 §11.4.35 §11.4.65 §11.4.141 §11.4.142 §11.4.155 §11.4.156 §11.4.157</w:t>
      </w:r>
    </w:p>
    <w:p>
      <w:pPr>
        <w:pStyle w:val="Compact"/>
        <w:numPr>
          <w:ilvl w:val="0"/>
          <w:numId w:val="1039"/>
        </w:numPr>
      </w:pPr>
      <w:r>
        <w:t xml:space="preserve">§11.4.158 — Intensive all-feature/flow/edge-case video-recording + read-the-screen content-verification man… [full → CLAUDE_ANCHORS_FULL.md + Constitution.md] · refs: §11.4.2 §11.4.4 §11.4.17 §11.4.27 §11.4.35 §11.4.69 §11.4.83 §11.4.85 §11.4.107 §11.4.117 §11.4.128 §11.4.153 §11.4.154 §11.4.155 §11.4.158</w:t>
      </w:r>
    </w:p>
    <w:p>
      <w:pPr>
        <w:pStyle w:val="Compact"/>
        <w:numPr>
          <w:ilvl w:val="0"/>
          <w:numId w:val="1039"/>
        </w:numPr>
      </w:pPr>
      <w:r>
        <w:t xml:space="preserve">§11.4.159 — Mandatory window-specific video recording + vision validation mandate (User mandate, 2026-06-20… [full → CLAUDE_ANCHORS_FULL.md + Constitution.md] · refs: §11.4.2 §11.4.3 §11.4.10 §11.4.17 §11.4.29 §11.4.69 §11.4.102 §11.4.107 §11.4.137 §11.4.151 §11.4.154 §11.4.159</w:t>
      </w:r>
    </w:p>
    <w:p>
      <w:pPr>
        <w:pStyle w:val="Compact"/>
        <w:numPr>
          <w:ilvl w:val="0"/>
          <w:numId w:val="1039"/>
        </w:numPr>
      </w:pPr>
      <w:r>
        <w:t xml:space="preserve">§11.4.160 — Vision-verified recording + HelixQA bridge mandate (User mandate, 2026-06-21).** Compact summar… [full → CLAUDE_ANCHORS_FULL.md + Constitution.md] · refs: §11.4.5 §11.4.6 §11.4.17 §11.4.35 §11.4.107 §11.4.108 §11.4.112 §11.4.117 §11.4.159 §11.4.160</w:t>
      </w:r>
    </w:p>
    <w:p>
      <w:pPr>
        <w:pStyle w:val="Compact"/>
        <w:numPr>
          <w:ilvl w:val="0"/>
          <w:numId w:val="1039"/>
        </w:numPr>
      </w:pPr>
      <w:r>
        <w:t xml:space="preserve">§11.4.161 — Rootless container runtime mandate (User mandate, 2026-06-21).** Compact summary: every project… [full → CLAUDE_ANCHORS_FULL.md + Constitution.md] · refs: §11.4.6 §11.4.10 §11.4.17 §11.4.74 §11.4.76 §11.4.112 §11.4.161</w:t>
      </w:r>
    </w:p>
    <w:p>
      <w:pPr>
        <w:pStyle w:val="Compact"/>
        <w:numPr>
          <w:ilvl w:val="0"/>
          <w:numId w:val="1039"/>
        </w:numPr>
      </w:pPr>
      <w:r>
        <w:t xml:space="preserve">§11.4.162 — OpenDesign UI design system mandate (User mandate, 2026-06-21).** Compact summary: every projec… [full → CLAUDE_ANCHORS_FULL.md + Constitution.md] · refs: §11.4.6 §11.4.17 §11.4.27 §11.4.35 §11.4.48 §11.4.49 §11.4.74 §11.4.107 §11.4.162</w:t>
      </w:r>
    </w:p>
    <w:p>
      <w:pPr>
        <w:pStyle w:val="Compact"/>
        <w:numPr>
          <w:ilvl w:val="0"/>
          <w:numId w:val="1039"/>
        </w:numPr>
      </w:pPr>
      <w:r>
        <w:t xml:space="preserve">§11.4.163 — Universal Media Validation &amp; Verification Mandate (User mandate, 2026-06-21).** Compact summary… [full → CLAUDE_ANCHORS_FULL.md + Constitution.md] · refs: §11.4.5 §11.4.17 §11.4.107 §11.4.108 §11.4.117 §11.4.159 §11.4.163</w:t>
      </w:r>
    </w:p>
    <w:p>
      <w:pPr>
        <w:pStyle w:val="Compact"/>
        <w:numPr>
          <w:ilvl w:val="0"/>
          <w:numId w:val="1039"/>
        </w:numPr>
      </w:pPr>
      <w:r>
        <w:t xml:space="preserve">§11.4.164 — Universal Constitution Auto-Propagation &amp; Hook System (User mandate, 2026-06-21).** Compact sum… [full → CLAUDE_ANCHORS_FULL.md + Constitution.md] · refs: §11.4.6 §11.4.17 §11.4.28 §11.4.32 §11.4.67 §11.4.164</w:t>
      </w:r>
    </w:p>
    <w:p>
      <w:pPr>
        <w:pStyle w:val="Compact"/>
        <w:numPr>
          <w:ilvl w:val="0"/>
          <w:numId w:val="1039"/>
        </w:numPr>
      </w:pPr>
      <w:r>
        <w:t xml:space="preserve">§11.4.165 — Universal Independent Verification Agent Mandate (User mandate, 2026-06-21).** Compact summary:… [full → CLAUDE_ANCHORS_FULL.md + Constitution.md] · refs: §11.4.10 §11.4.17 §11.4.40 §11.4.44 §11.4.65 §11.4.70 §11.4.86 §11.4.92 §11.4.108 §11.4.134 §11.4.142 §11.4.159 §11.4.163 §11.4.165</w:t>
      </w:r>
    </w:p>
    <w:p>
      <w:pPr>
        <w:pStyle w:val="Compact"/>
        <w:numPr>
          <w:ilvl w:val="0"/>
          <w:numId w:val="1039"/>
        </w:numPr>
      </w:pPr>
      <w:r>
        <w:t xml:space="preserve">§11.4.166 — REPEALED (operator decision, 2026-06-22).** The Universal Semgrep static-analysis mandate is re… [full → CLAUDE_ANCHORS_FULL.md + Constitution.md] · refs: §11.4.166</w:t>
      </w:r>
    </w:p>
    <w:p>
      <w:pPr>
        <w:pStyle w:val="Compact"/>
        <w:numPr>
          <w:ilvl w:val="0"/>
          <w:numId w:val="1039"/>
        </w:numPr>
      </w:pPr>
      <w:r>
        <w:t xml:space="preserve">§11.4.167 — Big-work-item feature work-stream lifecycle (User mandate, 2026-06-23).** Compact summary: ever… [full → CLAUDE_ANCHORS_FULL.md + Constitution.md] · refs: §11.4.6 §11.4.17 §11.4.29 §11.4.35 §11.4.40 §11.4.41 §11.4.58 §11.4.69 §11.4.77 §11.4.84 §11.4.108 §11.4.113 §11.4.116 §11.4.119 §11.4.142 §11.4.145 §11.4.147 §11.4.151 §11.4.167</w:t>
      </w:r>
    </w:p>
    <w:p>
      <w:pPr>
        <w:pStyle w:val="Compact"/>
        <w:numPr>
          <w:ilvl w:val="0"/>
          <w:numId w:val="1039"/>
        </w:numPr>
      </w:pPr>
      <w:r>
        <w:t xml:space="preserve">§11.4.168 — Exported-document independent content + textual + full-visual validation mandate (User mandate,… [full → CLAUDE_ANCHORS_FULL.md + Constitution.md] · refs: §11.4.5 §11.4.6 §11.4.17 §11.4.65 §11.4.69 §11.4.70 §11.4.107 §11.4.112 §11.4.117 §11.4.134 §11.4.135 §11.4.138 §11.4.142 §11.4.168</w:t>
      </w:r>
    </w:p>
    <w:p>
      <w:pPr>
        <w:pStyle w:val="Compact"/>
        <w:numPr>
          <w:ilvl w:val="0"/>
          <w:numId w:val="1039"/>
        </w:numPr>
      </w:pPr>
      <w:r>
        <w:t xml:space="preserve">§11.4.169 — Mandatory comprehensive test-type coverage with anti-bluff captured evidence (User mandate, 202… [full → CLAUDE_ANCHORS_FULL.md + Constitution.md] · refs: §11.4.3 §11.4.4 §11.4.5 §11.4.10 §11.4.17 §11.4.25 §11.4.27 §11.4.50 §11.4.52 §11.4.69 §11.4.76 §11.4.85 §11.4.98 §11.4.107 §11.4.161 §11.4.169</w:t>
      </w:r>
    </w:p>
    <w:p>
      <w:pPr>
        <w:pStyle w:val="Compact"/>
        <w:numPr>
          <w:ilvl w:val="0"/>
          <w:numId w:val="1039"/>
        </w:numPr>
      </w:pPr>
      <w:r>
        <w:t xml:space="preserve">§11.4.170 — Device-independent host-side rendered-UI visual-proof mandate (User mandate, 2026-06-25).** Com… [full → CLAUDE_ANCHORS_FULL.md + Constitution.md] · refs: §11.4.3 §11.4.6 §11.4.17 §11.4.107 §11.4.153 §11.4.162 §11.4.168 §11.4.170</w:t>
      </w:r>
    </w:p>
    <w:p>
      <w:pPr>
        <w:pStyle w:val="Compact"/>
        <w:numPr>
          <w:ilvl w:val="0"/>
          <w:numId w:val="1039"/>
        </w:numPr>
      </w:pPr>
      <w:r>
        <w:t xml:space="preserve">§11.4.171 — Mandatory comprehensive human-readable workable-item descriptions (User mandate, 2026-06-29).**… [full → CLAUDE_ANCHORS_FULL.md + Constitution.md] · refs: §11.4.15 §11.4.16 §11.4.17 §11.4.19 §11.4.65 §11.4.91 §11.4.93 §11.4.148 §11.4.171</w:t>
      </w:r>
    </w:p>
    <w:p>
      <w:pPr>
        <w:pStyle w:val="Compact"/>
        <w:numPr>
          <w:ilvl w:val="0"/>
          <w:numId w:val="1039"/>
        </w:numPr>
      </w:pPr>
      <w:r>
        <w:t xml:space="preserve">§11.4.172 — Mandatory production-readiness planning with realistic timeline projection (User mandate, 2026-… [full → CLAUDE_ANCHORS_FULL.md + Constitution.md] · refs: §11.4.6 §11.4.17 §11.4.40 §11.4.42 §11.4.65 §11.4.93 §11.4.108 §11.4.172</w:t>
      </w:r>
    </w:p>
    <w:p>
      <w:pPr>
        <w:pStyle w:val="Compact"/>
        <w:numPr>
          <w:ilvl w:val="0"/>
          <w:numId w:val="1039"/>
        </w:numPr>
      </w:pPr>
      <w:r>
        <w:t xml:space="preserve">§11.4.173 — Containerized + distributed build mandate (User mandate, 2026-06-29).** EVERY build of EVERY co… [full → CLAUDE_ANCHORS_FULL.md + Constitution.md] · refs: §11.4.6 §11.4.17 §11.4.24 §11.4.28 §11.4.38 §11.4.40 §11.4.74 §11.4.76 §11.4.82 §11.4.108 §11.4.121 §11.4.161 §11.4.173</w:t>
      </w:r>
    </w:p>
    <w:p>
      <w:pPr>
        <w:pStyle w:val="Compact"/>
        <w:numPr>
          <w:ilvl w:val="0"/>
          <w:numId w:val="1039"/>
        </w:numPr>
      </w:pPr>
      <w:r>
        <w:t xml:space="preserve">§11.4.174 — Shared-host process-ownership verification mandate (User mandate, 2026-06-29).** On any shared… [full → CLAUDE_ANCHORS_FULL.md + Constitution.md] · refs: §11.4.6 §11.4.17 §11.4.66 §11.4.101 §11.4.133 §11.4.147 §11.4.174</w:t>
      </w:r>
    </w:p>
    <w:p>
      <w:pPr>
        <w:pStyle w:val="Compact"/>
        <w:numPr>
          <w:ilvl w:val="0"/>
          <w:numId w:val="1039"/>
        </w:numPr>
      </w:pPr>
      <w:r>
        <w:t xml:space="preserve">§11.4.176 — Conflict-free multi-track work-division + exactly-once claim registry + capability-aware deadlock-proof device-lock (User mandate, 2026-07-02).** 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[full → Constitution.md] · refs: §11.4.6 §11.4.17 §11.4.24 §11.4.28 §11.4.35 §11.4.41 §11.4.58 §11.4.84 §11.4.85 §11.4.103 §11.4.113 §11.4.116 §11.4.119 §11.4.147 §11.4.167 §12.6 §9.2 §11.4.176</w:t>
      </w:r>
    </w:p>
    <w:p>
      <w:pPr>
        <w:pStyle w:val="Compact"/>
        <w:numPr>
          <w:ilvl w:val="0"/>
          <w:numId w:val="1039"/>
        </w:numPr>
      </w:pPr>
      <w:r>
        <w:t xml:space="preserve">§12.11 — Maximal dynamic resource utilization for containerized builds (User mandate, 2026-07-03).** 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[full → Constitution.md] · refs: §12.1 §12.2 §12.3 §12.6 §12.10 §11.4.6 §11.4.24 §11.4.133 §9.2 §11.4.35 §12.11</w:t>
      </w:r>
    </w:p>
    <w:p>
      <w:pPr>
        <w:pStyle w:val="FirstParagraph"/>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 sending keystrokes/text/input events to a UI surface WITHOUT first capturing AND understanding what is on screen (OCR/vision/uiautomator/screenshot) AND confirming the result after each interaction — is STRICTLY FORBIDDEN. Blind typing IS bluff: the agent claims success without visual proof input landed correctly. Every UI-driving command MUST be preceded by screen-state capture + OCR verification AND followed by confirmation capture. WebView surfaces (common in streaming-app login) require OCR fallback per §11.4.117. OCR of credential-bearing screens requires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Fable-xhigh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§11.4.140's canonical translation pipeline (the HelixTranslate-canonical-translation-pipeline sense of that anchor number) nor §11.4.141's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§11.4.140 (canonical translation pipeline) / §11.4.141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2026-08-16T15:08:18Z</dcterms:created>
  <dcterms:modified xsi:type="dcterms:W3CDTF">2026-08-16T15:08:18Z</dcterms:modified>
</cp:coreProperties>
</file>

<file path=docProps/custom.xml><?xml version="1.0" encoding="utf-8"?>
<Properties xmlns="http://schemas.openxmlformats.org/officeDocument/2006/custom-properties" xmlns:vt="http://schemas.openxmlformats.org/officeDocument/2006/docPropsVTypes"/>
</file>