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SOL-03_needled_measurement</w:t>
      </w:r>
    </w:p>
    <w:bookmarkStart w:id="18" w:name="Xdc55f42ffb67535f4f73cb8b4cfe3b7e13cd913"/>
    <w:p>
      <w:pPr>
        <w:pStyle w:val="Heading1"/>
      </w:pPr>
      <w:r>
        <w:t xml:space="preserve">SOL-03 — The Needled Measurement Primitive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2026-07-22T20:55:00Z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4 (and meta — it protects every other solution's own measurements)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PC-5 (instruments produce false findings), MU-5 (wrong mechanism → wrong remedy), MU-6 (counts read as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every load-bearing measurement, in every gate/guard/sweep/report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poc/sol03_needled_measurement/</w:t>
              </w:r>
            </w:hyperlink>
            <w:r>
              <w:t xml:space="preserve"> </w:t>
            </w:r>
            <w:r>
              <w:t xml:space="preserve">— GREEN 8/8, RED-first; the SIGPIPE hazard reproduced INSIDE the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Anchors mechanized (no new anchor)</w:t>
            </w:r>
          </w:p>
        </w:tc>
        <w:tc>
          <w:tcPr/>
          <w:p>
            <w:pPr>
              <w:pStyle w:val="Compact"/>
            </w:pPr>
            <w:r>
              <w:t xml:space="preserve">§11.4.201(6)(7)(8), §11.4.6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art status</w:t>
            </w:r>
          </w:p>
        </w:tc>
        <w:tc>
          <w:tcPr/>
          <w:p>
            <w:pPr>
              <w:pStyle w:val="Compact"/>
            </w:pPr>
            <w:r>
              <w:t xml:space="preserve">The literature has NO named SE discipline for this (EXTERNAL_RESEARCH SYN-3 item 2). Closest prior art: epidemiology's negative/positive-control methodology (R5.3, S60–S62), which independently derives the needle-class-matching condition.</w:t>
            </w:r>
          </w:p>
        </w:tc>
      </w:tr>
    </w:tbl>
    <w:bookmarkStart w:id="10" w:name="X2a876ae65ac97cdadd7a4a7159fb2dbe4a22686"/>
    <w:p>
      <w:pPr>
        <w:pStyle w:val="Heading2"/>
      </w:pPr>
      <w:r>
        <w:t xml:space="preserve">1. The measured problem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 instrument traps catalogued from one release cycle, hit by 4 independent agents; ≥10</w:t>
      </w:r>
      <w:r>
        <w:rPr>
          <w:b/>
          <w:bCs/>
        </w:rPr>
        <w:t xml:space="preserve"> </w:t>
      </w:r>
      <w:r>
        <w:rPr>
          <w:b/>
          <w:bCs/>
        </w:rPr>
        <w:t xml:space="preserve">produced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reported findings</w:t>
      </w:r>
      <w:r>
        <w:rPr>
          <w:b/>
          <w:bCs/>
        </w:rPr>
        <w:t xml:space="preserve">, in both directions</w:t>
      </w:r>
      <w:r>
        <w:t xml:space="preserve"> </w:t>
      </w:r>
      <w:r>
        <w:t xml:space="preserve">[M17]. One environmental root cause (host</w:t>
      </w:r>
      <w:r>
        <w:t xml:space="preserve"> </w:t>
      </w:r>
      <w:r>
        <w:t xml:space="preserve">grep is a different regex engine) unified ≥4 "independent" mistakes.</w:t>
      </w:r>
    </w:p>
    <w:p>
      <w:pPr>
        <w:pStyle w:val="Compact"/>
        <w:numPr>
          <w:ilvl w:val="0"/>
          <w:numId w:val="1001"/>
        </w:numPr>
      </w:pPr>
      <w:r>
        <w:t xml:space="preserve">Corpus 2:</w:t>
      </w:r>
      <w:r>
        <w:t xml:space="preserve"> </w:t>
      </w:r>
      <w:r>
        <w:rPr>
          <w:b/>
          <w:bCs/>
        </w:rPr>
        <w:t xml:space="preserve">6 historical + 2 live-during-analysis instances</w:t>
      </w:r>
      <w:r>
        <w:t xml:space="preserve"> </w:t>
      </w:r>
      <w:r>
        <w:t xml:space="preserve">(§6) — swallowed restart</w:t>
      </w:r>
      <w:r>
        <w:t xml:space="preserve"> </w:t>
      </w:r>
      <w:r>
        <w:t xml:space="preserve">failures serving the wrong provider while the config read back correct; a test runner with</w:t>
      </w:r>
      <w:r>
        <w:t xml:space="preserve"> </w:t>
      </w:r>
      <w:r>
        <w:t xml:space="preserve">silent false-greens; a BRE guard dropping a function; SIGPIPE aborting session resolution; a</w:t>
      </w:r>
      <w:r>
        <w:t xml:space="preserve"> </w:t>
      </w:r>
      <w:r>
        <w:rPr>
          <w:rStyle w:val="VerbatimChar"/>
        </w:rPr>
        <w:t xml:space="preserve">$</w:t>
      </w:r>
      <w:r>
        <w:t xml:space="preserve">-token eaten from a commit subject; a Verified count off by 111.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in THIS session (instance #1):</w:t>
      </w:r>
      <w:r>
        <w:t xml:space="preserve"> </w:t>
      </w:r>
      <w:r>
        <w:t xml:space="preserve">the first RED-evidence capture for SOL-01 recorded</w:t>
      </w:r>
      <w:r>
        <w:t xml:space="preserve"> </w:t>
      </w:r>
      <w:r>
        <w:rPr>
          <w:rStyle w:val="VerbatimChar"/>
        </w:rPr>
        <w:t xml:space="preserve">exit=0</w:t>
      </w:r>
      <w:r>
        <w:t xml:space="preserve"> </w:t>
      </w:r>
      <w:r>
        <w:t xml:space="preserve">— the exit status of</w:t>
      </w:r>
      <w:r>
        <w:t xml:space="preserve"> </w:t>
      </w:r>
      <w:r>
        <w:rPr>
          <w:rStyle w:val="VerbatimChar"/>
        </w:rPr>
        <w:t xml:space="preserve">tee</w:t>
      </w:r>
      <w:r>
        <w:t xml:space="preserve">, not of the test (pipeline-exit trap). Caught and</w:t>
      </w:r>
      <w:r>
        <w:t xml:space="preserve"> </w:t>
      </w:r>
      <w:r>
        <w:t xml:space="preserve">re-captured; recorded here because it demonstrates the base rate even under §11.4.201</w:t>
      </w:r>
      <w:r>
        <w:t xml:space="preserve"> </w:t>
      </w:r>
      <w:r>
        <w:t xml:space="preserve">discipline (the same honesty corpus 2 §6.7 practiced).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measurement, this host, this session</w:t>
      </w:r>
      <w:r>
        <w:t xml:space="preserve"> </w:t>
      </w:r>
      <w:r>
        <w:t xml:space="preserve">(commands in the POC test):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2MB-payload | grep -q NEEDLE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set -o pipefail</w:t>
            </w:r>
            <w:r>
              <w:t xml:space="preserve">, needle on line 1, 400 iterations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400/400 read the PRESENT literal as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Same, without</w:t>
            </w:r>
            <w:r>
              <w:t xml:space="preserve"> </w:t>
            </w:r>
            <w:r>
              <w:rPr>
                <w:rStyle w:val="VerbatimChar"/>
              </w:rPr>
              <w:t xml:space="preserve">pipefail</w:t>
            </w:r>
          </w:p>
        </w:tc>
        <w:tc>
          <w:tcPr/>
          <w:p>
            <w:pPr>
              <w:pStyle w:val="Compact"/>
            </w:pPr>
            <w:r>
              <w:t xml:space="preserve">0/400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in the consuming tree carrying BOTH</w:t>
            </w:r>
            <w:r>
              <w:t xml:space="preserve"> </w:t>
            </w:r>
            <w:r>
              <w:rPr>
                <w:rStyle w:val="VerbatimChar"/>
              </w:rPr>
              <w:t xml:space="preserve">pipefail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| grep -q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files, 414 piped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grep -q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sites</w:t>
            </w:r>
            <w:r>
              <w:t xml:space="preserve"> </w:t>
            </w:r>
            <w:r>
              <w:t xml:space="preserve">(scripts/, tests/, constitution/scripts/; control-needled)</w:t>
            </w:r>
          </w:p>
        </w:tc>
      </w:tr>
    </w:tbl>
    <w:p>
      <w:pPr>
        <w:pStyle w:val="BodyText"/>
      </w:pPr>
      <w:r>
        <w:t xml:space="preserve">The dispatch brief's figure (8/400, 56 latent sites) was measured earlier at a different payload</w:t>
      </w:r>
      <w:r>
        <w:t xml:space="preserve"> </w:t>
      </w:r>
      <w:r>
        <w:t xml:space="preserve">size/scope; this session's re-measurement shows the hazard</w:t>
      </w:r>
      <w:r>
        <w:t xml:space="preserve"> </w:t>
      </w:r>
      <w:r>
        <w:rPr>
          <w:b/>
          <w:bCs/>
        </w:rPr>
        <w:t xml:space="preserve">saturates to deterministic</w:t>
      </w:r>
      <w:r>
        <w:rPr>
          <w:b/>
          <w:bCs/>
        </w:rPr>
        <w:t xml:space="preserve"> </w:t>
      </w:r>
      <w:r>
        <w:rPr>
          <w:b/>
          <w:bCs/>
        </w:rPr>
        <w:t xml:space="preserve">(400/400) as payload grows</w:t>
      </w:r>
      <w:r>
        <w:t xml:space="preserve"> </w:t>
      </w:r>
      <w:r>
        <w:t xml:space="preserve">— the worst possible scaling: the bigger the corpus being checked,</w:t>
      </w:r>
      <w:r>
        <w:t xml:space="preserve"> </w:t>
      </w:r>
      <w:r>
        <w:t xml:space="preserve">the more certainly a present token reads as absent. The 414 sites are the</w:t>
      </w:r>
      <w:r>
        <w:t xml:space="preserve"> </w:t>
      </w:r>
      <w:r>
        <w:rPr>
          <w:i/>
          <w:iCs/>
        </w:rPr>
        <w:t xml:space="preserve">exposure surface</w:t>
      </w:r>
      <w:r>
        <w:t xml:space="preserve"> </w:t>
      </w:r>
      <w:r>
        <w:t xml:space="preserve">(upper bound): a site is only exploitable when the producer writes more than a pipe buffer after</w:t>
      </w:r>
      <w:r>
        <w:t xml:space="preserve"> </w:t>
      </w:r>
      <w:r>
        <w:t xml:space="preserve">the match — but which sites those are changes with data volume, which is exactly why a per-site</w:t>
      </w:r>
      <w:r>
        <w:t xml:space="preserve"> </w:t>
      </w:r>
      <w:r>
        <w:t xml:space="preserve">audit cannot close this class and a primitive can.</w:t>
      </w:r>
    </w:p>
    <w:p>
      <w:pPr>
        <w:pStyle w:val="Compact"/>
        <w:numPr>
          <w:ilvl w:val="0"/>
          <w:numId w:val="1002"/>
        </w:numPr>
      </w:pPr>
      <w:r>
        <w:t xml:space="preserve">External confirmation (R5.1, S53–S56): shell instruments' dominant failure mode is a</w:t>
      </w:r>
      <w:r>
        <w:t xml:space="preserve"> </w:t>
      </w:r>
      <w:r>
        <w:rPr>
          <w:b/>
          <w:bCs/>
        </w:rPr>
        <w:t xml:space="preserve">clean,</w:t>
      </w:r>
      <w:r>
        <w:rPr>
          <w:b/>
          <w:bCs/>
        </w:rPr>
        <w:t xml:space="preserve"> </w:t>
      </w:r>
      <w:r>
        <w:rPr>
          <w:b/>
          <w:bCs/>
        </w:rPr>
        <w:t xml:space="preserve">plausible, wrong answer</w:t>
      </w:r>
      <w:r>
        <w:t xml:space="preserve"> </w:t>
      </w:r>
      <w:r>
        <w:t xml:space="preserve">— and no strict-mode configuration fixes it;</w:t>
      </w:r>
      <w:r>
        <w:t xml:space="preserve"> </w:t>
      </w:r>
      <w:r>
        <w:rPr>
          <w:rStyle w:val="VerbatimChar"/>
        </w:rPr>
        <w:t xml:space="preserve">pipefail</w:t>
      </w:r>
      <w:r>
        <w:t xml:space="preserve"> </w:t>
      </w:r>
      <w:r>
        <w:t xml:space="preserve">itself</w:t>
      </w:r>
      <w:r>
        <w:t xml:space="preserve"> </w:t>
      </w:r>
      <w:r>
        <w:rPr>
          <w:i/>
          <w:iCs/>
        </w:rPr>
        <w:t xml:space="preserve">introduces</w:t>
      </w:r>
      <w:r>
        <w:t xml:space="preserve"> </w:t>
      </w:r>
      <w:r>
        <w:t xml:space="preserve">the class above.</w:t>
      </w:r>
    </w:p>
    <w:bookmarkEnd w:id="10"/>
    <w:bookmarkStart w:id="14" w:name="X69dc3574557a7f3ed39e8213bc4e96c332e5a49"/>
    <w:p>
      <w:pPr>
        <w:pStyle w:val="Heading2"/>
      </w:pPr>
      <w:r>
        <w:t xml:space="preserve">2. The mechanism</w:t>
      </w:r>
    </w:p>
    <w:p>
      <w:pPr>
        <w:pStyle w:val="FirstParagraph"/>
      </w:pPr>
      <w:r>
        <w:t xml:space="preserve">A measurement is never a bare command; it is a</w:t>
      </w:r>
      <w:r>
        <w:t xml:space="preserve"> </w:t>
      </w:r>
      <w:r>
        <w:rPr>
          <w:b/>
          <w:bCs/>
        </w:rPr>
        <w:t xml:space="preserve">primitive that carries its own controls</w:t>
      </w:r>
      <w:r>
        <w:t xml:space="preserve">:</w:t>
      </w:r>
    </w:p>
    <w:p>
      <w:pPr>
        <w:pStyle w:val="BodyText"/>
      </w:pPr>
      <w:r>
        <w:drawing>
          <wp:inline>
            <wp:extent cx="5334000" cy="5993946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SOL-03_needled_measurement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Four rules, each pinned to a measured failure: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null is not evidence until a needle traverses the same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nq_absent</w:t>
      </w:r>
      <w:r>
        <w:t xml:space="preserve">) — the M17</w:t>
      </w:r>
      <w:r>
        <w:t xml:space="preserve"> </w:t>
      </w:r>
      <w:r>
        <w:t xml:space="preserve">false-null class. Positive control, per R5.3.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needle must share the query's load-bearing feature classes</w:t>
      </w:r>
      <w:r>
        <w:t xml:space="preserve"> </w:t>
      </w:r>
      <w:r>
        <w:t xml:space="preserve">(alternation, grouping,</w:t>
      </w:r>
      <w:r>
        <w:t xml:space="preserve"> </w:t>
      </w:r>
      <w:r>
        <w:t xml:space="preserve">anchors, escapes —</w:t>
      </w:r>
      <w:r>
        <w:t xml:space="preserve"> </w:t>
      </w:r>
      <w:r>
        <w:rPr>
          <w:rStyle w:val="VerbatimChar"/>
        </w:rPr>
        <w:t xml:space="preserve">_nq_features</w:t>
      </w:r>
      <w:r>
        <w:t xml:space="preserve">). A literal needle sails through the dialect layer that is</w:t>
      </w:r>
      <w:r>
        <w:t xml:space="preserve"> </w:t>
      </w:r>
      <w:r>
        <w:t xml:space="preserve">eating the query (the host-grep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incident) and would "certify" a blind zero — the exact</w:t>
      </w:r>
      <w:r>
        <w:t xml:space="preserve"> </w:t>
      </w:r>
      <w:r>
        <w:t xml:space="preserve">epidemiology validity condition (S62): a control certifies only the error sources it shares.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Presence output carries the lines, not just the count</w:t>
      </w:r>
      <w:r>
        <w:t xml:space="preserve"> </w:t>
      </w:r>
      <w:r>
        <w:t xml:space="preserve">(MU-6: twice in one cycle a count</w:t>
      </w:r>
      <w:r>
        <w:t xml:space="preserve"> </w:t>
      </w:r>
      <w:r>
        <w:t xml:space="preserve">was converted into a finding without reading the lines).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Consumers read producers to EOF</w:t>
      </w:r>
      <w:r>
        <w:t xml:space="preserve"> </w:t>
      </w:r>
      <w:r>
        <w:t xml:space="preserve">(</w:t>
      </w:r>
      <w:r>
        <w:rPr>
          <w:rStyle w:val="VerbatimChar"/>
        </w:rPr>
        <w:t xml:space="preserve">nq_stream_contains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on a captured</w:t>
      </w:r>
      <w:r>
        <w:t xml:space="preserve"> </w:t>
      </w:r>
      <w:r>
        <w:t xml:space="preserve">stream, never</w:t>
      </w:r>
      <w:r>
        <w:t xml:space="preserve"> </w:t>
      </w:r>
      <w:r>
        <w:rPr>
          <w:rStyle w:val="VerbatimChar"/>
        </w:rPr>
        <w:t xml:space="preserve">grep -q</w:t>
      </w:r>
      <w:r>
        <w:t xml:space="preserve"> </w:t>
      </w:r>
      <w:r>
        <w:t xml:space="preserve">on a live pipe) — the SIGPIPE/pipefail class is closed</w:t>
      </w:r>
      <w: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</w:t>
      </w:r>
      <w:r>
        <w:t xml:space="preserve">, not by auditing 414 sites.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instrument is injectable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NQ_GREP</w:t>
      </w:r>
      <w:r>
        <w:t xml:space="preserve">) so the blind-instrument path is itself testable</w:t>
      </w:r>
      <w:r>
        <w:t xml:space="preserve"> </w:t>
      </w:r>
      <w:r>
        <w:t xml:space="preserve">— an unfalsifiable validator is unvalidated instrumentation (§11.4.115(F) applied to</w:t>
      </w:r>
      <w:r>
        <w:t xml:space="preserve"> </w:t>
      </w:r>
      <w:r>
        <w:t xml:space="preserve">measurements). The POC's golden-bad case injects a see-nothing grep and asserts the primitive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INSTRUMENT-BLIND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CERTIFIED-ABSENT</w:t>
      </w:r>
      <w:r>
        <w:t xml:space="preserve">.</w:t>
      </w:r>
    </w:p>
    <w:bookmarkEnd w:id="14"/>
    <w:bookmarkStart w:id="15" w:name="Xd4550ab182c445dcfc19ae888adb2177c894125"/>
    <w:p>
      <w:pPr>
        <w:pStyle w:val="Heading2"/>
      </w:pPr>
      <w:r>
        <w:t xml:space="preserve">3. POC results</w:t>
      </w:r>
    </w:p>
    <w:p>
      <w:pPr>
        <w:pStyle w:val="FirstParagraph"/>
      </w:pPr>
      <w:r>
        <w:t xml:space="preserve">RED (missing lib, exit 1) → GREEN</w:t>
      </w:r>
      <w:r>
        <w:t xml:space="preserve"> </w:t>
      </w:r>
      <w:r>
        <w:rPr>
          <w:b/>
          <w:bCs/>
        </w:rPr>
        <w:t xml:space="preserve">8/8</w:t>
      </w:r>
      <w:r>
        <w:t xml:space="preserve">, including: blind-instrument returns 2 never 0;</w:t>
      </w:r>
      <w:r>
        <w:t xml:space="preserve"> </w:t>
      </w:r>
      <w:r>
        <w:t xml:space="preserve">carrier prose does not false-match a structure-anchored query (negative control); featureless</w:t>
      </w:r>
      <w:r>
        <w:t xml:space="preserve"> </w:t>
      </w:r>
      <w:r>
        <w:t xml:space="preserve">needle on an alternation query refused (exit 3) while a class-matched needle certifies; and the</w:t>
      </w:r>
      <w:r>
        <w:t xml:space="preserve"> </w:t>
      </w:r>
      <w:r>
        <w:t xml:space="preserve">pipefail hazard</w:t>
      </w:r>
      <w:r>
        <w:t xml:space="preserve"> </w:t>
      </w:r>
      <w:r>
        <w:rPr>
          <w:b/>
          <w:bCs/>
        </w:rPr>
        <w:t xml:space="preserve">reproduced live inside the test</w:t>
      </w:r>
      <w:r>
        <w:t xml:space="preserve"> </w:t>
      </w:r>
      <w:r>
        <w:t xml:space="preserve">(F1) with the primitive returning PRESENT on</w:t>
      </w:r>
      <w:r>
        <w:t xml:space="preserve"> </w:t>
      </w:r>
      <w:r>
        <w:t xml:space="preserve">the same payload (F2).</w:t>
      </w:r>
    </w:p>
    <w:bookmarkEnd w:id="15"/>
    <w:bookmarkStart w:id="16" w:name="X65b01d8cba68081340759e5c073d80f74ea78d9"/>
    <w:p>
      <w:pPr>
        <w:pStyle w:val="Heading2"/>
      </w:pPr>
      <w:r>
        <w:t xml:space="preserve">4. The failure this makes IMPOSSIBLE</w:t>
      </w:r>
    </w:p>
    <w:p>
      <w:pPr>
        <w:pStyle w:val="FirstParagraph"/>
      </w:pPr>
      <w:r>
        <w:t xml:space="preserve">For any measurement routed through the primitive: an</w:t>
      </w:r>
      <w:r>
        <w:t xml:space="preserve"> </w:t>
      </w:r>
      <w:r>
        <w:rPr>
          <w:b/>
          <w:bCs/>
        </w:rPr>
        <w:t xml:space="preserve">unverified null cannot be reported</w:t>
      </w:r>
      <w:r>
        <w:t xml:space="preserve"> </w:t>
      </w:r>
      <w:r>
        <w:t xml:space="preserve">—</w:t>
      </w:r>
      <w:r>
        <w:t xml:space="preserve"> </w:t>
      </w:r>
      <w:r>
        <w:t xml:space="preserve">the API has no code path that emits "absent" without a sighted, class-matched needle; a</w:t>
      </w:r>
      <w:r>
        <w:t xml:space="preserve"> </w:t>
      </w:r>
      <w:r>
        <w:t xml:space="preserve">SIGPIPE-truncated stream cannot produce a false absence (the producer is always drained); a</w:t>
      </w:r>
      <w:r>
        <w:t xml:space="preserve"> </w:t>
      </w:r>
      <w:r>
        <w:t xml:space="preserve">blind instrument yields a loud</w:t>
      </w:r>
      <w:r>
        <w:t xml:space="preserve"> </w:t>
      </w:r>
      <w:r>
        <w:rPr>
          <w:rStyle w:val="VerbatimChar"/>
        </w:rPr>
        <w:t xml:space="preserve">INSTRUMENT-BLIND</w:t>
      </w:r>
      <w:r>
        <w:t xml:space="preserve">, which is a</w:t>
      </w:r>
      <w:r>
        <w:t xml:space="preserve"> </w:t>
      </w:r>
      <w:r>
        <w:rPr>
          <w:i/>
          <w:iCs/>
        </w:rPr>
        <w:t xml:space="preserve">finding about the instrument</w:t>
      </w:r>
      <w:r>
        <w:t xml:space="preserve"> </w:t>
      </w:r>
      <w:r>
        <w:t xml:space="preserve">(MU-5's requirement: prove the mechanism before choosing the remedy).</w:t>
      </w:r>
    </w:p>
    <w:bookmarkEnd w:id="16"/>
    <w:bookmarkStart w:id="17" w:name="X98be296e8317ad16665c2c212e476f7fb21ce49"/>
    <w:p>
      <w:pPr>
        <w:pStyle w:val="Heading2"/>
      </w:pPr>
      <w:r>
        <w:t xml:space="preserve">5. What it still does NOT catch (honest boundary)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False-MATCH beyond structure.</w:t>
      </w:r>
      <w:r>
        <w:t xml:space="preserve"> </w:t>
      </w:r>
      <w:r>
        <w:t xml:space="preserve">The primitive enforces structure-anchored queries by making</w:t>
      </w:r>
      <w:r>
        <w:t xml:space="preserve"> </w:t>
      </w:r>
      <w:r>
        <w:t xml:space="preserve">carriers a first-class test case, but a poorly chosen query pattern can still match a</w:t>
      </w:r>
      <w:r>
        <w:t xml:space="preserve"> </w:t>
      </w:r>
      <w:r>
        <w:t xml:space="preserve">carrier; the negative-control fixture discipline (per query class) is the countermeasure, and</w:t>
      </w:r>
      <w:r>
        <w:t xml:space="preserve"> </w:t>
      </w:r>
      <w:r>
        <w:t xml:space="preserve">choosing the pattern remains authorship.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Measurements not routed through it.</w:t>
      </w:r>
      <w:r>
        <w:t xml:space="preserve"> </w:t>
      </w:r>
      <w:r>
        <w:t xml:space="preserve">This is a library, not an interception layer; the 414</w:t>
      </w:r>
      <w:r>
        <w:t xml:space="preserve"> </w:t>
      </w:r>
      <w:r>
        <w:t xml:space="preserve">existing sites stay exposed until migrated. Adoption mechanics (a lint that flags bare</w:t>
      </w:r>
      <w:r>
        <w:t xml:space="preserve"> </w:t>
      </w:r>
      <w:r>
        <w:rPr>
          <w:rStyle w:val="VerbatimChar"/>
        </w:rPr>
        <w:t xml:space="preserve">| grep -q</w:t>
      </w:r>
      <w:r>
        <w:t xml:space="preserve"> </w:t>
      </w:r>
      <w:r>
        <w:t xml:space="preserve">under pipefail as a migration queue) are a consumer follow-up — a count-visible</w:t>
      </w:r>
      <w:r>
        <w:t xml:space="preserve"> </w:t>
      </w:r>
      <w:r>
        <w:t xml:space="preserve">queue, not claimed 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Non-grep instruments</w:t>
      </w:r>
      <w:r>
        <w:t xml:space="preserve"> </w:t>
      </w:r>
      <w:r>
        <w:t xml:space="preserve">(jq, awk, sqlite, curl) need the same wrapper pattern per tool; the</w:t>
      </w:r>
      <w:r>
        <w:t xml:space="preserve"> </w:t>
      </w:r>
      <w:r>
        <w:t xml:space="preserve">POC ships the grep instance and the design generalizes, but each tool's blind-modes are its</w:t>
      </w:r>
      <w:r>
        <w:t xml:space="preserve"> </w:t>
      </w:r>
      <w:r>
        <w:t xml:space="preserve">own (e.g.</w:t>
      </w:r>
      <w:r>
        <w:t xml:space="preserve"> </w:t>
      </w:r>
      <w:r>
        <w:rPr>
          <w:rStyle w:val="VerbatimChar"/>
        </w:rPr>
        <w:t xml:space="preserve">find</w:t>
      </w:r>
      <w:r>
        <w:t xml:space="preserve">'s exit-0-on-no-match,</w:t>
      </w:r>
      <w:r>
        <w:t xml:space="preserve"> </w:t>
      </w:r>
      <w:r>
        <w:rPr>
          <w:rStyle w:val="VerbatimChar"/>
        </w:rPr>
        <w:t xml:space="preserve">-newermt</w:t>
      </w:r>
      <w:r>
        <w:t xml:space="preserve"> </w:t>
      </w:r>
      <w:r>
        <w:t xml:space="preserve">host unreliability) — per-tool needles are</w:t>
      </w:r>
      <w:r>
        <w:t xml:space="preserve"> </w:t>
      </w:r>
      <w:r>
        <w:t xml:space="preserve">owed at integration.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Feature-class extractor is a closed approximation</w:t>
      </w:r>
      <w:r>
        <w:t xml:space="preserve"> </w:t>
      </w:r>
      <w:r>
        <w:t xml:space="preserve">— it covers {alternation, group,</w:t>
      </w:r>
      <w:r>
        <w:t xml:space="preserve"> </w:t>
      </w:r>
      <w:r>
        <w:t xml:space="preserve">anchors, escapes}; exotic PCRE features are outside the set and would need extending. Stated,</w:t>
      </w:r>
      <w:r>
        <w:t xml:space="preserve"> </w:t>
      </w:r>
      <w:r>
        <w:t xml:space="preserve">not hidden.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poc/sol03_needled_measure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oc/sol03_needled_measure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SOL-03_needled_measurement</dc:title>
  <dc:creator/>
  <dc:language>en</dc:language>
  <cp:keywords/>
  <dcterms:created xsi:type="dcterms:W3CDTF">2026-07-24T00:59:38Z</dcterms:created>
  <dcterms:modified xsi:type="dcterms:W3CDTF">2026-07-24T00:59:38Z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