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SPECKIT_SUPERPOWERS_LIFECYCLE_ANCHOR_DRAFT</w:t>
      </w:r>
    </w:p>
    <w:bookmarkStart w:id="12" w:name="X8d9966575c3abf8227f8ea64edc204b7aa934bd"/>
    <w:p>
      <w:pPr>
        <w:pStyle w:val="Heading1"/>
      </w:pPr>
      <w:r>
        <w:t xml:space="preserve">DRAFT — Speckit → Superpowers Development-Lifecycle Anchor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2026-07-23T00:00:00Z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NOT YET APPLIED. Prepared by (T1/main - claude4) on operator</w:t>
      </w:r>
      <w:r>
        <w:t xml:space="preserve"> </w:t>
      </w:r>
      <w:r>
        <w:t xml:space="preserve">directive 2026-07-23. The conductor merges this into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(+ the four CLAUDE/AGENTS/QWEN/GEMINI lockstep mirrors per §11.4.157) AFTER the</w:t>
      </w:r>
      <w:r>
        <w:t xml:space="preserve"> </w:t>
      </w:r>
      <w:r>
        <w:t xml:space="preserve">agent currently owning those files lands (§11.4.119 single-resource-owner).</w:t>
      </w:r>
      <w:r>
        <w:t xml:space="preserve"> </w:t>
      </w:r>
      <w:r>
        <w:rPr>
          <w:b/>
          <w:bCs/>
        </w:rPr>
        <w:t xml:space="preserve">Anchor number:</w:t>
      </w:r>
      <w:r>
        <w:t xml:space="preserve"> </w:t>
      </w:r>
      <w:r>
        <w:t xml:space="preserve">deliberately UNASSIGNED here — written as</w:t>
      </w:r>
      <w:r>
        <w:t xml:space="preserve"> </w:t>
      </w:r>
      <w:r>
        <w:rPr>
          <w:rStyle w:val="VerbatimChar"/>
        </w:rPr>
        <w:t xml:space="preserve">§11.4.NNN</w:t>
      </w:r>
      <w:r>
        <w:t xml:space="preserve">. Next</w:t>
      </w:r>
      <w:r>
        <w:t xml:space="preserve"> </w:t>
      </w:r>
      <w:r>
        <w:t xml:space="preserve">free number at draft time is</w:t>
      </w:r>
      <w:r>
        <w:t xml:space="preserve"> </w:t>
      </w:r>
      <w:r>
        <w:rPr>
          <w:b/>
          <w:bCs/>
        </w:rPr>
        <w:t xml:space="preserve">§11.4.226</w:t>
      </w:r>
      <w:r>
        <w:t xml:space="preserve"> </w:t>
      </w:r>
      <w:r>
        <w:t xml:space="preserve">(highest landed anchor is §11.4.225,</w:t>
      </w:r>
      <w:r>
        <w:t xml:space="preserve"> </w:t>
      </w:r>
      <w:r>
        <w:t xml:space="preserve">constitution/CLAUDE.md Rev 63, 2026-07-23), but another agent is actively minting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RIGHT NOW, so the conductor assigns the final number at merge</w:t>
      </w:r>
      <w:r>
        <w:t xml:space="preserve"> </w:t>
      </w:r>
      <w:r>
        <w:t xml:space="preserve">(also mind the pre-existing §11.4.140/§11.4.141 number-collision noted in Rev 62 —</w:t>
      </w:r>
      <w:r>
        <w:t xml:space="preserve"> </w:t>
      </w:r>
      <w:r>
        <w:t xml:space="preserve">do not reuse either). Substitute</w:t>
      </w:r>
      <w:r>
        <w:t xml:space="preserve"> </w:t>
      </w:r>
      <w:r>
        <w:rPr>
          <w:rStyle w:val="VerbatimChar"/>
        </w:rPr>
        <w:t xml:space="preserve">NNN</w:t>
      </w:r>
      <w:r>
        <w:t xml:space="preserve"> </w:t>
      </w:r>
      <w:r>
        <w:t xml:space="preserve">throughout (including both gate names)</w:t>
      </w:r>
      <w:r>
        <w:t xml:space="preserve"> </w:t>
      </w:r>
      <w:r>
        <w:t xml:space="preserve">before landing.</w:t>
      </w:r>
      <w:r>
        <w:t xml:space="preserve"> </w:t>
      </w:r>
      <w:r>
        <w:rPr>
          <w:b/>
          <w:bCs/>
        </w:rPr>
        <w:t xml:space="preserve">Reference implementation (proving project):</w:t>
      </w:r>
      <w:r>
        <w:t xml:space="preserve"> </w:t>
      </w:r>
      <w:r>
        <w:t xml:space="preserve">ATMOSphere Track 1</w:t>
      </w:r>
      <w:r>
        <w:t xml:space="preserve"> </w:t>
      </w:r>
      <w:r>
        <w:t xml:space="preserve">(</w:t>
      </w:r>
      <w:r>
        <w:rPr>
          <w:rStyle w:val="VerbatimChar"/>
        </w:rPr>
        <w:t xml:space="preserve">/mnt/track1/atmosphere-t1</w:t>
      </w:r>
      <w:r>
        <w:t xml:space="preserve">) — Spec Kit 0.13.5.dev0 initialized 2026-07-23 with</w:t>
      </w:r>
      <w:r>
        <w:t xml:space="preserve"> </w:t>
      </w:r>
      <w:r>
        <w:rPr>
          <w:rStyle w:val="VerbatimChar"/>
        </w:rPr>
        <w:t xml:space="preserve">--integration claude</w:t>
      </w:r>
      <w:r>
        <w:t xml:space="preserve"> </w:t>
      </w:r>
      <w:r>
        <w:t xml:space="preserve">(skills mode), speckit constitution v1.0.0 at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(+ ingestion record + 1,981-file corpus</w:t>
      </w:r>
      <w:r>
        <w:t xml:space="preserve"> </w:t>
      </w:r>
      <w:r>
        <w:t xml:space="preserve">manifest),</w:t>
      </w:r>
      <w:r>
        <w:t xml:space="preserve"> </w:t>
      </w:r>
      <w:r>
        <w:rPr>
          <w:rStyle w:val="VerbatimChar"/>
        </w:rPr>
        <w:t xml:space="preserve">speckit-superpowers-bridge</w:t>
      </w:r>
      <w:r>
        <w:t xml:space="preserve"> </w:t>
      </w:r>
      <w:r>
        <w:t xml:space="preserve">v1.1.0 installed as a Spec Kit extension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handoff hook registered in</w:t>
      </w:r>
      <w:r>
        <w:t xml:space="preserve"> </w:t>
      </w:r>
      <w:r>
        <w:rPr>
          <w:rStyle w:val="VerbatimChar"/>
        </w:rPr>
        <w:t xml:space="preserve">.specify/extensions.yml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X5569973a0b5e6cde064bb574b47513eac22e0f9"/>
    <w:p>
      <w:pPr>
        <w:pStyle w:val="Heading2"/>
      </w:pPr>
      <w:r>
        <w:t xml:space="preserve">Proposed anchor text (compact-summary form, ready for the mirrors)</w:t>
      </w:r>
    </w:p>
    <w:p>
      <w:pPr>
        <w:pStyle w:val="FirstParagraph"/>
      </w:pPr>
      <w:r>
        <w:rPr>
          <w:b/>
          <w:bCs/>
        </w:rPr>
        <w:t xml:space="preserve">§11.4.NNN — Speckit → Superpowers development lifecycle: Spec Kit owns the</w:t>
      </w:r>
      <w:r>
        <w:rPr>
          <w:b/>
          <w:bCs/>
        </w:rPr>
        <w:t xml:space="preserve"> </w:t>
      </w:r>
      <w:r>
        <w:rPr>
          <w:b/>
          <w:bCs/>
        </w:rPr>
        <w:t xml:space="preserve">WHAT, Superpowers enforces the HOW, bridged mechanically — mandatory for every</w:t>
      </w:r>
      <w:r>
        <w:rPr>
          <w:b/>
          <w:bCs/>
        </w:rPr>
        <w:t xml:space="preserve"> </w:t>
      </w:r>
      <w:r>
        <w:rPr>
          <w:b/>
          <w:bCs/>
        </w:rPr>
        <w:t xml:space="preserve">governed project (Operator mandate, 2026-07-23).</w:t>
      </w:r>
      <w:r>
        <w:t xml:space="preserve"> </w:t>
      </w:r>
      <w:r>
        <w:t xml:space="preserve">Operator requirements</w:t>
      </w:r>
      <w:r>
        <w:t xml:space="preserve"> </w:t>
      </w:r>
      <w:r>
        <w:t xml:space="preserve">(verbatim intent, four clauses): (1) every project MUST initialize Spec Kit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specify init . --integration claude</w:t>
      </w:r>
      <w:r>
        <w:t xml:space="preserve"> </w:t>
      </w:r>
      <w:r>
        <w:t xml:space="preserve">from the project root, extensions/</w:t>
      </w:r>
      <w:r>
        <w:t xml:space="preserve"> </w:t>
      </w:r>
      <w:r>
        <w:t xml:space="preserve">plugins/Skills authored where needed to make this runnable from a claude-toolkit</w:t>
      </w:r>
      <w:r>
        <w:t xml:space="preserve"> </w:t>
      </w:r>
      <w:r>
        <w:t xml:space="preserve">alias session); (2) once initialized, the project MUST create its speckit</w:t>
      </w:r>
      <w:r>
        <w:t xml:space="preserve"> </w:t>
      </w:r>
      <w:r>
        <w:t xml:space="preserve">constitution via the speckit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command, built from EVERYTHING in</w:t>
      </w:r>
      <w:r>
        <w:t xml:space="preserve"> </w:t>
      </w:r>
      <w:r>
        <w:t xml:space="preserve">the constitution submodule + all project-level constitution overrides/extensions</w:t>
      </w:r>
    </w:p>
    <w:p>
      <w:pPr>
        <w:pStyle w:val="Compact"/>
        <w:numPr>
          <w:ilvl w:val="0"/>
          <w:numId w:val="1001"/>
        </w:numPr>
      </w:pPr>
      <w:r>
        <w:t xml:space="preserve">all documentation in the main README + all documents referenced from README +</w:t>
      </w:r>
      <w:r>
        <w:t xml:space="preserve"> </w:t>
      </w:r>
      <w:r>
        <w:t xml:space="preserve">everything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fully recursively — parsed, processed, analyzed into</w:t>
      </w:r>
      <w:r>
        <w:t xml:space="preserve"> </w:t>
      </w:r>
      <w:r>
        <w:t xml:space="preserve">the speckit constitution; (3) from then on the workflow is: create workable</w:t>
      </w:r>
      <w:r>
        <w:t xml:space="preserve"> </w:t>
      </w:r>
      <w:r>
        <w:t xml:space="preserve">item(s) fully per the constitution and bring all components + documents up to</w:t>
      </w:r>
      <w:r>
        <w:t xml:space="preserve"> </w:t>
      </w:r>
      <w:r>
        <w:t xml:space="preserve">date and in sync with them → pass the workable item(s) as the reference into</w:t>
      </w:r>
      <w:r>
        <w:t xml:space="preserve"> </w:t>
      </w:r>
      <w:r>
        <w:t xml:space="preserve">speckit</w:t>
      </w:r>
      <w:r>
        <w:t xml:space="preserve"> </w:t>
      </w:r>
      <w:r>
        <w:rPr>
          <w:rStyle w:val="VerbatimChar"/>
        </w:rPr>
        <w:t xml:space="preserve">specify</w:t>
      </w:r>
      <w:r>
        <w:t xml:space="preserve"> </w:t>
      </w:r>
      <w:r>
        <w:t xml:space="preserve">(with extra detail + references to every related doc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any depth) →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→ hand the</w:t>
      </w:r>
      <w:r>
        <w:t xml:space="preserve"> </w:t>
      </w:r>
      <w:r>
        <w:t xml:space="preserve">ENTIRE implementation to Superpowers via the bridge plugin; (4) separation of</w:t>
      </w:r>
      <w:r>
        <w:t xml:space="preserve"> </w:t>
      </w:r>
      <w:r>
        <w:t xml:space="preserve">concerns is preserved:</w:t>
      </w:r>
      <w:r>
        <w:t xml:space="preserve"> </w:t>
      </w:r>
      <w:r>
        <w:rPr>
          <w:b/>
          <w:bCs/>
        </w:rPr>
        <w:t xml:space="preserve">SpecKit defines the WHAT</w:t>
      </w:r>
      <w:r>
        <w:t xml:space="preserve"> </w:t>
      </w:r>
      <w:r>
        <w:t xml:space="preserve">(constitution,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— the design source of truth);</w:t>
      </w:r>
      <w:r>
        <w:t xml:space="preserve"> </w:t>
      </w:r>
      <w:r>
        <w:rPr>
          <w:b/>
          <w:bCs/>
        </w:rPr>
        <w:t xml:space="preserve">Superpowers enforces the</w:t>
      </w:r>
      <w:r>
        <w:rPr>
          <w:b/>
          <w:bCs/>
        </w:rP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(TDD, systematic debugging, code review — preventing jump-to-coding);</w:t>
      </w:r>
      <w:r>
        <w:t xml:space="preserve"> </w:t>
      </w:r>
      <w:r>
        <w:t xml:space="preserve">bridge =</w:t>
      </w:r>
      <w:r>
        <w:t xml:space="preserve"> </w:t>
      </w:r>
      <w:r>
        <w:rPr>
          <w:rStyle w:val="VerbatimChar"/>
        </w:rPr>
        <w:t xml:space="preserve">speckit-superpowers-bridge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hook writes the</w:t>
      </w:r>
      <w:r>
        <w:t xml:space="preserve"> </w:t>
      </w:r>
      <w:r>
        <w:t xml:space="preserve">handoff file and whose</w:t>
      </w:r>
      <w:r>
        <w:t xml:space="preserve"> </w:t>
      </w:r>
      <w:r>
        <w:rPr>
          <w:rStyle w:val="VerbatimChar"/>
        </w:rPr>
        <w:t xml:space="preserve">/speckit-superpowers-bridge</w:t>
      </w:r>
      <w:r>
        <w:t xml:space="preserve"> </w:t>
      </w:r>
      <w:r>
        <w:t xml:space="preserve">command tells Superpowers</w:t>
      </w:r>
      <w:r>
        <w:t xml:space="preserve"> </w:t>
      </w:r>
      <w:r>
        <w:t xml:space="preserve">to execute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with its native skills. Operative clauses:</w:t>
      </w:r>
      <w:r>
        <w:t xml:space="preserve"> </w:t>
      </w: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b/>
          <w:bCs/>
        </w:rPr>
        <w:t xml:space="preserve">INITIALIZED, PROVEN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 </w:t>
      </w:r>
      <w:r>
        <w:t xml:space="preserve">present with the project's agent</w:t>
      </w:r>
      <w:r>
        <w:t xml:space="preserve"> </w:t>
      </w:r>
      <w:r>
        <w:t xml:space="preserve">integration installed; "initialized" is a verified runtime state (§11.4.6/</w:t>
      </w:r>
      <w:r>
        <w:t xml:space="preserve"> </w:t>
      </w:r>
      <w:r>
        <w:t xml:space="preserve">§11.4.201(11)): the integration's commands/skills actually resolve in a live</w:t>
      </w:r>
      <w:r>
        <w:t xml:space="preserve"> </w:t>
      </w:r>
      <w:r>
        <w:t xml:space="preserve">session, never assumed from files-on-disk; any load-bearing agent settings</w:t>
      </w:r>
      <w:r>
        <w:t xml:space="preserve"> </w:t>
      </w:r>
      <w:r>
        <w:t xml:space="preserve">(hook wiring, e.g. the §11.4.210 request-capture hook) are §9.2-backed-up</w:t>
      </w:r>
      <w:r>
        <w:t xml:space="preserve"> </w:t>
      </w:r>
      <w:r>
        <w:t xml:space="preserve">before init and proven to survive it byte-identical.</w:t>
      </w:r>
      <w:r>
        <w:t xml:space="preserve"> </w:t>
      </w:r>
      <w:r>
        <w:rPr>
          <w:b/>
          <w:bCs/>
        </w:rPr>
        <w:t xml:space="preserve">(B) DERIVED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CONSTITUTION, HONEST CORPUS</w:t>
      </w:r>
      <w:r>
        <w:t xml:space="preserve"> </w:t>
      </w:r>
      <w:r>
        <w:t xml:space="preserve">— the speckit constitution at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is a GENERATED, SUBORDINATE distillation of</w:t>
      </w:r>
      <w:r>
        <w:t xml:space="preserve"> </w:t>
      </w:r>
      <w:r>
        <w:t xml:space="preserve">the canonical stack (constitution submodule + project governance layer, per</w:t>
      </w:r>
      <w:r>
        <w:t xml:space="preserve"> </w:t>
      </w:r>
      <w:r>
        <w:t xml:space="preserve">§11.4.35); when they disagree the canonical stack wins and the speckit file is</w:t>
      </w:r>
      <w:r>
        <w:t xml:space="preserve"> </w:t>
      </w:r>
      <w:r>
        <w:t xml:space="preserve">regenerated (one-way flow, §11.4.206 single-writer discipline); a corpus too</w:t>
      </w:r>
      <w:r>
        <w:t xml:space="preserve"> </w:t>
      </w:r>
      <w:r>
        <w:t xml:space="preserve">large for one invocation is chunked DETERMINISTICALLY with an in-repo ingestion</w:t>
      </w:r>
      <w:r>
        <w:t xml:space="preserve"> </w:t>
      </w:r>
      <w:r>
        <w:t xml:space="preserve">record + machine-generated corpus manifest stating exactly what was full-text</w:t>
      </w:r>
      <w:r>
        <w:t xml:space="preserve"> </w:t>
      </w:r>
      <w:r>
        <w:t xml:space="preserve">ingested vs structurally ingested vs enumerated-only — a truncated corpus</w:t>
      </w:r>
      <w:r>
        <w:t xml:space="preserve"> </w:t>
      </w:r>
      <w:r>
        <w:t xml:space="preserve">presented as complete is a §11.4/§11.4.6 bluff.</w:t>
      </w:r>
      <w:r>
        <w:t xml:space="preserve"> </w:t>
      </w:r>
      <w:r>
        <w:rPr>
          <w:b/>
          <w:bCs/>
        </w:rPr>
        <w:t xml:space="preserve">(C) THE LIFECYCLE</w:t>
      </w:r>
      <w:r>
        <w:t xml:space="preserve"> </w:t>
      </w:r>
      <w:r>
        <w:t xml:space="preserve">— every</w:t>
      </w:r>
      <w:r>
        <w:t xml:space="preserve"> </w:t>
      </w:r>
      <w:r>
        <w:t xml:space="preserve">feature flows: fully-formed workable item(s) in the §11.4.93/§11.4.95 SSoT</w:t>
      </w:r>
      <w:r>
        <w:t xml:space="preserve"> </w:t>
      </w:r>
      <w:r>
        <w:t xml:space="preserve">(docs in sync per §11.4.202/§11.4.106) →</w:t>
      </w:r>
      <w:r>
        <w:t xml:space="preserve"> </w:t>
      </w:r>
      <w:r>
        <w:rPr>
          <w:rStyle w:val="VerbatimChar"/>
        </w:rPr>
        <w:t xml:space="preserve">specify</w:t>
      </w:r>
      <w:r>
        <w:t xml:space="preserve"> </w:t>
      </w:r>
      <w:r>
        <w:t xml:space="preserve">referencing the workable</w:t>
      </w:r>
      <w:r>
        <w:t xml:space="preserve"> </w:t>
      </w:r>
      <w:r>
        <w:t xml:space="preserve">item(s) + every related doc at any depth →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→ bridge handoff → Superpowers-driven implementation (TDD §11.4.224/</w:t>
      </w:r>
      <w:r>
        <w:t xml:space="preserve"> </w:t>
      </w:r>
      <w:r>
        <w:t xml:space="preserve">§11.4.43/§11.4.115, systematic debugging §11.4.102, subagent-driven §11.4.70/</w:t>
      </w:r>
      <w:r>
        <w:t xml:space="preserve"> </w:t>
      </w:r>
      <w:r>
        <w:t xml:space="preserve">§11.4.20, independent review §11.4.125/§11.4.142/§11.4.194 on the §11.4.209</w:t>
      </w:r>
      <w:r>
        <w:t xml:space="preserve"> </w:t>
      </w:r>
      <w:r>
        <w:t xml:space="preserve">substrate); skipping a stage, or implementing through</w:t>
      </w:r>
      <w:r>
        <w:t xml:space="preserve"> </w:t>
      </w:r>
      <w:r>
        <w:rPr>
          <w:rStyle w:val="VerbatimChar"/>
        </w:rPr>
        <w:t xml:space="preserve">speckit.implement</w:t>
      </w:r>
      <w:r>
        <w:t xml:space="preserve"> </w:t>
      </w:r>
      <w:r>
        <w:t xml:space="preserve">/</w:t>
      </w:r>
      <w:r>
        <w:t xml:space="preserve"> </w:t>
      </w:r>
      <w:r>
        <w:t xml:space="preserve">free-hand coding while a Superpowers handoff exists, is a lifecycle violation.</w:t>
      </w:r>
      <w:r>
        <w:t xml:space="preserve"> </w:t>
      </w:r>
      <w:r>
        <w:rPr>
          <w:b/>
          <w:bCs/>
        </w:rPr>
        <w:t xml:space="preserve">(D) BOUNDARY GUARDED MECHANICALLY</w:t>
      </w:r>
      <w:r>
        <w:t xml:space="preserve"> </w:t>
      </w:r>
      <w:r>
        <w:t xml:space="preserve">— the bridge's guard 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before_clarify</w:t>
      </w:r>
      <w:r>
        <w:t xml:space="preserve">/</w:t>
      </w:r>
      <w:r>
        <w:rPr>
          <w:rStyle w:val="VerbatimChar"/>
        </w:rPr>
        <w:t xml:space="preserve">before_plan</w:t>
      </w:r>
      <w:r>
        <w:t xml:space="preserve">/</w:t>
      </w:r>
      <w:r>
        <w:rPr>
          <w:rStyle w:val="VerbatimChar"/>
        </w:rPr>
        <w:t xml:space="preserve">before_tasks</w:t>
      </w:r>
      <w:r>
        <w:t xml:space="preserve">/</w:t>
      </w:r>
      <w:r>
        <w:rPr>
          <w:rStyle w:val="VerbatimChar"/>
        </w:rPr>
        <w:t xml:space="preserve">before_implement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handoff hook are REGISTERED and ENABLED in</w:t>
      </w:r>
      <w:r>
        <w:t xml:space="preserve"> </w:t>
      </w:r>
      <w:r>
        <w:rPr>
          <w:rStyle w:val="VerbatimChar"/>
        </w:rPr>
        <w:t xml:space="preserve">.specify/extensions.yml</w:t>
      </w:r>
      <w:r>
        <w:t xml:space="preserve">; Spec Kit contract changes are blocked while an</w:t>
      </w:r>
      <w:r>
        <w:t xml:space="preserve"> </w:t>
      </w:r>
      <w:r>
        <w:t xml:space="preserve">implementation handoff is executing, and native Superpowers planning is</w:t>
      </w:r>
      <w:r>
        <w:t xml:space="preserve"> </w:t>
      </w:r>
      <w:r>
        <w:t xml:space="preserve">blocked while Spec Kit owns the design artifacts — the WHAT/HOW seam is</w:t>
      </w:r>
      <w:r>
        <w:t xml:space="preserve"> </w:t>
      </w:r>
      <w:r>
        <w:t xml:space="preserve">enforced by the hooks, never by agent memory (§11.4.109 anti-forgetting</w:t>
      </w:r>
      <w:r>
        <w:t xml:space="preserve"> </w:t>
      </w:r>
      <w:r>
        <w:t xml:space="preserve">pattern).</w:t>
      </w:r>
      <w:r>
        <w:t xml:space="preserve"> </w:t>
      </w:r>
      <w:r>
        <w:rPr>
          <w:b/>
          <w:bCs/>
        </w:rPr>
        <w:t xml:space="preserve">(E) HONEST BOUNDARY (§11.4.6)</w:t>
      </w:r>
      <w:r>
        <w:t xml:space="preserve"> </w:t>
      </w:r>
      <w:r>
        <w:t xml:space="preserve">— the lifecycle governs design</w:t>
      </w:r>
      <w:r>
        <w:t xml:space="preserve"> </w:t>
      </w:r>
      <w:r>
        <w:t xml:space="preserve">and implementation FLOW; it replaces NOTHING downstream: four-layer coverage</w:t>
      </w:r>
      <w:r>
        <w:t xml:space="preserve"> </w:t>
      </w:r>
      <w:r>
        <w:t xml:space="preserve">(§11.4.4(b)), runtime signatures on a clean target (§11.4.108), the §11.4.40</w:t>
      </w:r>
      <w:r>
        <w:t xml:space="preserve"> </w:t>
      </w:r>
      <w:r>
        <w:t xml:space="preserve">full-suite retest, and the §11.4.185 manual-QA final gate all still apply to</w:t>
      </w:r>
      <w:r>
        <w:t xml:space="preserve"> </w:t>
      </w:r>
      <w:r>
        <w:t xml:space="preserve">the Superpowers-implemented result; the speckit artifacts are additional</w:t>
      </w:r>
      <w:r>
        <w:t xml:space="preserve"> </w:t>
      </w:r>
      <w:r>
        <w:t xml:space="preserve">design custody, not substitute evidence. Classification: universal (§11.4.17)</w:t>
      </w:r>
      <w:r>
        <w:t xml:space="preserve"> </w:t>
      </w:r>
      <w:r>
        <w:t xml:space="preserve">— the consuming project supplies its integration name, corpus roots, and</w:t>
      </w:r>
      <w:r>
        <w:t xml:space="preserve"> </w:t>
      </w:r>
      <w:r>
        <w:t xml:space="preserve">bridge install source as DATA per §11.4.35. Composes §11.4.6/.17/.20/.35/</w:t>
      </w:r>
      <w:r>
        <w:t xml:space="preserve"> </w:t>
      </w:r>
      <w:r>
        <w:t xml:space="preserve">.43/.70/.93/.95/.102/.106/.108/.109/.115/.119/.125/.142/.185/.194/.201/.202/</w:t>
      </w:r>
      <w:r>
        <w:t xml:space="preserve"> </w:t>
      </w:r>
      <w:r>
        <w:t xml:space="preserve">.205/.206/.209/.210/.224/§9.2. Propagation gate</w:t>
      </w:r>
      <w:r>
        <w:t xml:space="preserve"> </w:t>
      </w:r>
      <w:r>
        <w:rPr>
          <w:rStyle w:val="VerbatimChar"/>
        </w:rPr>
        <w:t xml:space="preserve">CM-COVENANT-114-NNN-PROPAGATION</w:t>
      </w:r>
      <w:r>
        <w:t xml:space="preserve"> </w:t>
      </w:r>
      <w:r>
        <w:t xml:space="preserve">(literal</w:t>
      </w:r>
      <w:r>
        <w:t xml:space="preserve"> </w:t>
      </w:r>
      <w:r>
        <w:rPr>
          <w:rStyle w:val="VerbatimChar"/>
        </w:rPr>
        <w:t xml:space="preserve">11.4.NNN</w:t>
      </w:r>
      <w:r>
        <w:t xml:space="preserve"> </w:t>
      </w:r>
      <w:r>
        <w:t xml:space="preserve">across the consumer</w:t>
      </w:r>
      <w:r>
        <w:t xml:space="preserve"> </w:t>
      </w:r>
      <w:r>
        <w:t xml:space="preserve">fleet) + recommended mechanism gate</w:t>
      </w:r>
      <w:r>
        <w:t xml:space="preserve"> </w:t>
      </w:r>
      <w:r>
        <w:rPr>
          <w:rStyle w:val="VerbatimChar"/>
        </w:rPr>
        <w:t xml:space="preserve">CM-SPECKIT-SDD-LIFECYCLE-WIRED</w:t>
      </w:r>
      <w:r>
        <w:t xml:space="preserve"> </w:t>
      </w:r>
      <w:r>
        <w:t xml:space="preserve">(five</w:t>
      </w:r>
      <w:r>
        <w:t xml:space="preserve"> </w:t>
      </w:r>
      <w:r>
        <w:t xml:space="preserve">invariants: (i)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 </w:t>
      </w:r>
      <w:r>
        <w:t xml:space="preserve">present with an installed integration whose</w:t>
      </w:r>
      <w:r>
        <w:t xml:space="preserve"> </w:t>
      </w:r>
      <w:r>
        <w:t xml:space="preserve">commands resolve; (ii)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exists, is non-template</w:t>
      </w:r>
      <w:r>
        <w:t xml:space="preserve"> </w:t>
      </w:r>
      <w:r>
        <w:t xml:space="preserve">— zero</w:t>
      </w:r>
      <w:r>
        <w:t xml:space="preserve"> </w:t>
      </w:r>
      <w:r>
        <w:rPr>
          <w:rStyle w:val="VerbatimChar"/>
        </w:rPr>
        <w:t xml:space="preserve">[ALL_CAPS]</w:t>
      </w:r>
      <w:r>
        <w:t xml:space="preserve"> </w:t>
      </w:r>
      <w:r>
        <w:t xml:space="preserve">placeholder tokens, verified with a control-needle run of</w:t>
      </w:r>
      <w:r>
        <w:t xml:space="preserve"> </w:t>
      </w:r>
      <w:r>
        <w:t xml:space="preserve">the same pattern against the pristine template which MUST hit — and carries</w:t>
      </w:r>
      <w:r>
        <w:t xml:space="preserve"> </w:t>
      </w:r>
      <w:r>
        <w:t xml:space="preserve">the derived-view/canonical-stack subordination clause; (iii) the ingestion</w:t>
      </w:r>
      <w:r>
        <w:t xml:space="preserve"> </w:t>
      </w:r>
      <w:r>
        <w:t xml:space="preserve">record + corpus manifest exist beside it; (iv) the bridge extension is</w:t>
      </w:r>
      <w:r>
        <w:t xml:space="preserve"> </w:t>
      </w:r>
      <w:r>
        <w:t xml:space="preserve">installed + enabled with the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→ handoff hook present in</w:t>
      </w:r>
      <w:r>
        <w:t xml:space="preserve"> </w:t>
      </w:r>
      <w:r>
        <w:rPr>
          <w:rStyle w:val="VerbatimChar"/>
        </w:rPr>
        <w:t xml:space="preserve">.specify/extensions.yml</w:t>
      </w:r>
      <w:r>
        <w:t xml:space="preserve">; (v) load-bearing agent hook wiring survived init —</w:t>
      </w:r>
      <w:r>
        <w:t xml:space="preserve"> </w:t>
      </w:r>
      <w:r>
        <w:t xml:space="preserve">the settings file's request-capture hook entry is present and its self-validation</w:t>
      </w:r>
      <w:r>
        <w:t xml:space="preserve"> </w:t>
      </w:r>
      <w:r>
        <w:t xml:space="preserve">test passes) + paired §1.1 mutation (delete the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hook entry from</w:t>
      </w:r>
      <w:r>
        <w:t xml:space="preserve"> </w:t>
      </w:r>
      <w:r>
        <w:rPr>
          <w:rStyle w:val="VerbatimChar"/>
        </w:rPr>
        <w:t xml:space="preserve">.specify/extensions.yml</w:t>
      </w:r>
      <w:r>
        <w:t xml:space="preserve"> </w:t>
      </w:r>
      <w:r>
        <w:t xml:space="preserve">→ invariant (iv) FAILs; restore the constitution to</w:t>
      </w:r>
      <w:r>
        <w:t xml:space="preserve"> </w:t>
      </w:r>
      <w:r>
        <w:t xml:space="preserve">its placeholder template → invariant (ii) FAILs; remove the ingestion record →</w:t>
      </w:r>
      <w:r>
        <w:t xml:space="preserve"> </w:t>
      </w:r>
      <w:r>
        <w:t xml:space="preserve">invariant (iii) FAILs; strip the</w:t>
      </w:r>
      <w:r>
        <w:t xml:space="preserve"> </w:t>
      </w:r>
      <w:r>
        <w:rPr>
          <w:rStyle w:val="VerbatimChar"/>
        </w:rPr>
        <w:t xml:space="preserve">11.4.NNN</w:t>
      </w:r>
      <w:r>
        <w:t xml:space="preserve"> </w:t>
      </w:r>
      <w:r>
        <w:t xml:space="preserve">literal from a mirror → the</w:t>
      </w:r>
      <w:r>
        <w:t xml:space="preserve"> </w:t>
      </w:r>
      <w:r>
        <w:t xml:space="preserve">propagation gate FAILs).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§11.4.NNN. Non-compliance is a</w:t>
      </w:r>
      <w:r>
        <w:t xml:space="preserve"> </w:t>
      </w:r>
      <w:r>
        <w:t xml:space="preserve">release blocker. No escape hatch — no</w:t>
      </w:r>
      <w:r>
        <w:t xml:space="preserve"> </w:t>
      </w:r>
      <w:r>
        <w:rPr>
          <w:rStyle w:val="VerbatimChar"/>
        </w:rPr>
        <w:t xml:space="preserve">--skip-speckit-init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--freehand-implementation-OK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--constitution-from-memory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--truncated-corpus-as-complete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--bypass-bridge-handoff</w:t>
      </w:r>
      <w:r>
        <w:t xml:space="preserve">,</w:t>
      </w:r>
      <w:r>
        <w:t xml:space="preserve"> </w:t>
      </w:r>
      <w:r>
        <w:rPr>
          <w:rStyle w:val="VerbatimChar"/>
        </w:rPr>
        <w:t xml:space="preserve">--speckit-implement-during-handoff</w:t>
      </w:r>
      <w:r>
        <w:t xml:space="preserve"> </w:t>
      </w:r>
      <w:r>
        <w:t xml:space="preserve">flag.</w:t>
      </w:r>
    </w:p>
    <w:p>
      <w:r>
        <w:pict>
          <v:rect style="width:0;height:1.5pt" o:hralign="center" o:hrstd="t" o:hr="t"/>
        </w:pict>
      </w:r>
    </w:p>
    <w:bookmarkEnd w:id="10"/>
    <w:bookmarkStart w:id="11" w:name="Xd1c9882bf0a8b3a4e7418a4cb34958443b0239e"/>
    <w:p>
      <w:pPr>
        <w:pStyle w:val="Heading2"/>
      </w:pPr>
      <w:r>
        <w:t xml:space="preserve">Merge notes for the conductor (not part of the anchor text)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CODE is a separate work item</w:t>
      </w:r>
      <w:r>
        <w:t xml:space="preserve"> </w:t>
      </w:r>
      <w:r>
        <w:t xml:space="preserve">(§11.4.6 — the gate CONTRACT above is</w:t>
      </w:r>
      <w:r>
        <w:t xml:space="preserve"> </w:t>
      </w:r>
      <w:r>
        <w:t xml:space="preserve">drafted; no gate script is claimed shipped). The two gates + the four-part</w:t>
      </w:r>
      <w:r>
        <w:t xml:space="preserve"> </w:t>
      </w:r>
      <w:r>
        <w:t xml:space="preserve">§1.1 mutation need implementations under the project's pre-build sweep +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CM-COVENANT-114-NNN-PROPAGATION</w:t>
      </w:r>
      <w:r>
        <w:t xml:space="preserve"> </w:t>
      </w:r>
      <w:r>
        <w:t xml:space="preserve">standalone script under</w:t>
      </w:r>
      <w:r>
        <w:t xml:space="preserve"> </w:t>
      </w:r>
      <w:r>
        <w:rPr>
          <w:rStyle w:val="VerbatimChar"/>
        </w:rPr>
        <w:t xml:space="preserve">constitution/scripts/gates/</w:t>
      </w:r>
      <w:r>
        <w:t xml:space="preserve"> </w:t>
      </w:r>
      <w:r>
        <w:t xml:space="preserve">per the recent-anchor</w:t>
      </w:r>
      <w:r>
        <w:t xml:space="preserve"> </w:t>
      </w:r>
      <w:r>
        <w:t xml:space="preserve">convention.</w:t>
      </w:r>
    </w:p>
    <w:p>
      <w:pPr>
        <w:pStyle w:val="Compact"/>
        <w:numPr>
          <w:ilvl w:val="0"/>
          <w:numId w:val="1002"/>
        </w:numPr>
      </w:pPr>
      <w:r>
        <w:t xml:space="preserve">Number assignment: replace every</w:t>
      </w:r>
      <w:r>
        <w:t xml:space="preserve"> </w:t>
      </w:r>
      <w:r>
        <w:rPr>
          <w:rStyle w:val="VerbatimChar"/>
        </w:rPr>
        <w:t xml:space="preserve">NNN</w:t>
      </w:r>
      <w:r>
        <w:t xml:space="preserve"> </w:t>
      </w:r>
      <w:r>
        <w:t xml:space="preserve">(anchor heading, both gate names, the</w:t>
      </w:r>
      <w:r>
        <w:t xml:space="preserve"> </w:t>
      </w:r>
      <w:r>
        <w:t xml:space="preserve">no-escape-hatch list is number-free) — next free was §11.4.226 at draft time;</w:t>
      </w:r>
      <w:r>
        <w:t xml:space="preserve"> </w:t>
      </w:r>
      <w:r>
        <w:t xml:space="preserve">re-verify at merge (another agent is minting concurrently).</w:t>
      </w:r>
    </w:p>
    <w:p>
      <w:pPr>
        <w:pStyle w:val="Compact"/>
        <w:numPr>
          <w:ilvl w:val="0"/>
          <w:numId w:val="1002"/>
        </w:numPr>
      </w:pPr>
      <w:r>
        <w:t xml:space="preserve">Mirrors: land the compact form above in CLAUDE.md/AGENTS.md/QWEN.md/GEMINI.md</w:t>
      </w:r>
      <w:r>
        <w:t xml:space="preserve"> </w:t>
      </w:r>
      <w:r>
        <w:t xml:space="preserve">in lockstep (§11.4.157), exactly ONCE per mirror (Rev-60 F7 duplicated-anchor</w:t>
      </w:r>
      <w:r>
        <w:t xml:space="preserve"> </w:t>
      </w:r>
      <w:r>
        <w:t xml:space="preserve">lesson).</w:t>
      </w:r>
    </w:p>
    <w:p>
      <w:pPr>
        <w:pStyle w:val="Compact"/>
        <w:numPr>
          <w:ilvl w:val="0"/>
          <w:numId w:val="1002"/>
        </w:numPr>
      </w:pPr>
      <w:r>
        <w:t xml:space="preserve">Consumer-side instantiation for ATMOSphere (project layer, §11.4.35): the</w:t>
      </w:r>
      <w:r>
        <w:t xml:space="preserve"> </w:t>
      </w:r>
      <w:r>
        <w:t xml:space="preserve">reference-implementation block at the top of this draft can seed the</w:t>
      </w:r>
      <w:r>
        <w:t xml:space="preserve"> </w:t>
      </w:r>
      <w:r>
        <w:t xml:space="preserve">project-CLAUDE.md instantiation section (concrete paths:</w:t>
      </w:r>
      <w:r>
        <w:t xml:space="preserve"> </w:t>
      </w:r>
      <w:r>
        <w:rPr>
          <w:rStyle w:val="VerbatimChar"/>
        </w:rPr>
        <w:t xml:space="preserve">.specify/memory/*</w:t>
      </w:r>
      <w:r>
        <w:t xml:space="preserve">,</w:t>
      </w:r>
      <w:r>
        <w:t xml:space="preserve"> </w:t>
      </w:r>
      <w:r>
        <w:t xml:space="preserve">the bridge install source, the</w:t>
      </w:r>
      <w:r>
        <w:t xml:space="preserve"> </w:t>
      </w:r>
      <w:r>
        <w:rPr>
          <w:rStyle w:val="VerbatimChar"/>
        </w:rPr>
        <w:t xml:space="preserve">scripts/hooks/capture_operator_request.sh</w:t>
      </w:r>
      <w:r>
        <w:t xml:space="preserve"> </w:t>
      </w:r>
      <w:r>
        <w:t xml:space="preserve">survival check).</w:t>
      </w:r>
    </w:p>
    <w:p>
      <w:pPr>
        <w:pStyle w:val="Compact"/>
        <w:numPr>
          <w:ilvl w:val="0"/>
          <w:numId w:val="1002"/>
        </w:numPr>
      </w:pPr>
      <w:r>
        <w:t xml:space="preserve">Evidence backing this draft (captured 2026-07-23, session T1/claude4):</w:t>
      </w:r>
      <w:r>
        <w:t xml:space="preserve"> </w:t>
      </w:r>
      <w:r>
        <w:rPr>
          <w:rStyle w:val="VerbatimChar"/>
        </w:rPr>
        <w:t xml:space="preserve">specify init . --integration claude</w:t>
      </w:r>
      <w:r>
        <w:t xml:space="preserve"> </w:t>
      </w:r>
      <w:r>
        <w:t xml:space="preserve">run 1 exit 1 (non-interactive confirm)</w:t>
      </w:r>
      <w:r>
        <w:t xml:space="preserve"> </w:t>
      </w:r>
      <w:r>
        <w:t xml:space="preserve">→ run 2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exit 0, git-status delta = 11 NEW untracked entries</w:t>
      </w:r>
      <w:r>
        <w:t xml:space="preserve"> </w:t>
      </w:r>
      <w:r>
        <w:t xml:space="preserve">only (10</w:t>
      </w:r>
      <w:r>
        <w:t xml:space="preserve"> </w:t>
      </w:r>
      <w:r>
        <w:rPr>
          <w:rStyle w:val="VerbatimChar"/>
        </w:rPr>
        <w:t xml:space="preserve">.claude/skills/speckit-*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), zero modified files;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sha256</w:t>
      </w:r>
      <w:r>
        <w:t xml:space="preserve"> </w:t>
      </w:r>
      <w:r>
        <w:rPr>
          <w:rStyle w:val="VerbatimChar"/>
        </w:rPr>
        <w:t xml:space="preserve">977dc259…</w:t>
      </w:r>
      <w:r>
        <w:t xml:space="preserve"> </w:t>
      </w:r>
      <w:r>
        <w:t xml:space="preserve">identical before/after; capture-</w:t>
      </w:r>
      <w:r>
        <w:t xml:space="preserve"> </w:t>
      </w:r>
      <w:r>
        <w:t xml:space="preserve">hook self-validation 20/20 PASS; bridge installed via</w:t>
      </w:r>
      <w:r>
        <w:t xml:space="preserve"> </w:t>
      </w:r>
      <w:r>
        <w:rPr>
          <w:rStyle w:val="VerbatimChar"/>
        </w:rPr>
        <w:t xml:space="preserve">specify extension add &lt;local-path&gt; --dev</w:t>
      </w:r>
      <w:r>
        <w:t xml:space="preserve"> </w:t>
      </w:r>
      <w:r>
        <w:t xml:space="preserve">exit 0,</w:t>
      </w:r>
      <w:r>
        <w:t xml:space="preserve"> </w:t>
      </w:r>
      <w:r>
        <w:rPr>
          <w:rStyle w:val="VerbatimChar"/>
        </w:rPr>
        <w:t xml:space="preserve">specify extension list</w:t>
      </w:r>
      <w:r>
        <w:t xml:space="preserve"> </w:t>
      </w:r>
      <w:r>
        <w:t xml:space="preserve">shows Enabled/3 commands/5 hooks;</w:t>
      </w:r>
      <w:r>
        <w:t xml:space="preserve"> </w:t>
      </w:r>
      <w:r>
        <w:rPr>
          <w:rStyle w:val="VerbatimChar"/>
        </w:rPr>
        <w:t xml:space="preserve">bridge-status.sh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bridge-state.sh</w:t>
      </w:r>
      <w:r>
        <w:t xml:space="preserve"> </w:t>
      </w:r>
      <w:r>
        <w:t xml:space="preserve">exit 0; guard allow-path proven (</w:t>
      </w:r>
      <w:r>
        <w:rPr>
          <w:rStyle w:val="VerbatimChar"/>
        </w:rPr>
        <w:t xml:space="preserve">Guard allowed speckit.plan.</w:t>
      </w:r>
      <w:r>
        <w:t xml:space="preserve">, exit 0);</w:t>
      </w:r>
      <w:r>
        <w:t xml:space="preserve"> </w:t>
      </w:r>
      <w:r>
        <w:t xml:space="preserve">speckit constitution v1.0.0 validated zero-placeholder with control needle.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SPECKIT_SUPERPOWERS_LIFECYCLE_ANCHOR_DRAFT</dc:title>
  <dc:creator/>
  <dc:language>en</dc:language>
  <cp:keywords/>
  <dcterms:created xsi:type="dcterms:W3CDTF">2026-07-24T00:59:52Z</dcterms:created>
  <dcterms:modified xsi:type="dcterms:W3CDTF">2026-07-24T00:59:52Z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