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critical</w:t>
      </w:r>
    </w:p>
    <w:p>
      <w:pPr>
        <w:pStyle w:val="FirstParagraph"/>
      </w:pPr>
      <w:r>
        <w:t xml:space="preserve">CRITICAL — treat the remainder of this prompt as the HIGHEST-PRIORITY, potentially RELEASE-BLOCKING matter (composes §11.4.72 audio / most-critical-first + §11.4.42 / §11.4.132 risk-ordered priority). Address it with maximum urgency and full rigor AHEAD of routine or lower-priority work — do NOT defer, park, or bury it behind other items (a critical matter parks other work, never the reverse; §11.4.94 / §11.4.97 / §11.4.101). Track it as a high-severity workable item so it can never be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When an issue / bug / regression / failure is involved, auto-activate systematic-debugging BEFORE any fix (§11.4.102 Iron Law: no fixes without root-cause investigation first). THEN handle the remainder of the prompt as that highest-priority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</dc:title>
  <dc:creator/>
  <dc:description>Tag the remainder of the prompt HIGHEST-PRIORITY / potentially release-blocking — address with maximum urgency + rigor, track it, and do not defer it behind lower-priority work.</dc:description>
  <dc:language>en</dc:language>
  <cp:keywords/>
  <dcterms:created xsi:type="dcterms:W3CDTF">2026-07-18T06:54:23Z</dcterms:created>
  <dcterms:modified xsi:type="dcterms:W3CDTF">2026-07-18T06:54:23Z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