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helix-constitution-universal-agents.md"/>
    <w:p>
      <w:pPr>
        <w:pStyle w:val="Heading1"/>
      </w:pPr>
      <w:r>
        <w:t xml:space="preserve">Helix Constitution — Universal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1985c680435eb0ed25daff7a94b389d4698dfa5"/>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9247ed595aa81415a7a8177c3ae5aa083850cd1"/>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w:t>
      </w:r>
      <w:r>
        <w:t xml:space="preserve"> </w:t>
      </w:r>
      <w:r>
        <w:t xml:space="preserve">“MUST”</w:t>
      </w:r>
      <w:r>
        <w:t xml:space="preserve">-bearing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458d8e57869cb4dd3d8c9e39cad8013ba1d1b81"/>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1af4e31e18707fc5bdc63d320a63bcd6d8b077d"/>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b366a60b9e02043767dea332a7a05ba435be018"/>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abaecf204332d55510eb670e3f600c8c6e1ab76"/>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w:t>
      </w:r>
      <w:r>
        <w:t xml:space="preserve"> </w:t>
      </w:r>
      <w:r>
        <w:t xml:space="preserve">trail). Classification:</w:t>
      </w:r>
      <w:r>
        <w:t xml:space="preserve"> </w:t>
      </w:r>
      <w:r>
        <w:t xml:space="preserve">universal (per §11.4.17). No escape hatch.</w:t>
      </w:r>
    </w:p>
    <w:bookmarkEnd w:id="23"/>
    <w:bookmarkStart w:id="24" w:name="X9da33116660780392461a500aa8f2b044f56e02"/>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064975c50e8756e2020f73be9dabc27cbcd54e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r>
        <w:t xml:space="preserve"> </w:t>
      </w:r>
      <w:r>
        <w:t xml:space="preserve">+ 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7515f6c83979f540096fee69462b8af9b7962a9"/>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84dc16f081e7c4f4b2aeb2f36cd5ec9cc240bab"/>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r>
        <w:t xml:space="preserve"> </w:t>
      </w:r>
      <w:r>
        <w:t xml:space="preserve">+ 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a180adfb4950eec1c8ad2fbadd8295c6093811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f0640c110082bae816a4073af79dc389edd0779"/>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b2329bf50d9d39430a5a7992dbce03c78c5dbbb"/>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6d439c55aba93cfa4a321412d42709d699647b1"/>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66fbf56a53385e03b5c29355d9d58cfc8615a58"/>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b78647170b8eda73e223958474872dba53593b"/>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w:t>
      </w:r>
      <w:r>
        <w:t xml:space="preserve">“for now”</w:t>
      </w:r>
      <w:r>
        <w:t xml:space="preserve"> </w:t>
      </w:r>
      <w:r>
        <w:t xml:space="preserve">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ee09c72f7fc6ee0f69dcab6436472b7cfc1e547"/>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e1df59267a6dcd7564b137e5ae4ee313139068e"/>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49a640a53db02864f63120730bc9e5523169494"/>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w:t>
      </w:r>
      <w:r>
        <w:t xml:space="preserve"> </w:t>
      </w:r>
      <w:r>
        <w:t xml:space="preserve">“Parent CLAUDE.md”</w:t>
      </w:r>
      <w:r>
        <w:t xml:space="preserve"> </w:t>
      </w:r>
      <w:r>
        <w:t xml:space="preserve">/</w:t>
      </w:r>
      <w:r>
        <w:t xml:space="preserve"> </w:t>
      </w:r>
      <w:r>
        <w:t xml:space="preserve">“root Constitution”</w:t>
      </w:r>
      <w:r>
        <w:t xml:space="preserve"> </w:t>
      </w:r>
      <w:r>
        <w:t xml:space="preserve">→ constitution</w:t>
      </w:r>
      <w:r>
        <w:t xml:space="preserve"> </w:t>
      </w:r>
      <w:r>
        <w:t xml:space="preserve">submodule file at</w:t>
      </w:r>
      <w:r>
        <w:t xml:space="preserve"> </w:t>
      </w:r>
      <w:r>
        <w:rPr>
          <w:rStyle w:val="VerbatimChar"/>
        </w:rPr>
        <w:t xml:space="preserve">constitution/&lt;filename&gt;</w:t>
      </w:r>
      <w:r>
        <w:t xml:space="preserve">.</w:t>
      </w:r>
      <w:r>
        <w:t xml:space="preserve"> </w:t>
      </w:r>
      <w:r>
        <w:t xml:space="preserve">“Project CLAUDE.md”</w:t>
      </w:r>
      <w:r>
        <w:t xml:space="preserve"> </w:t>
      </w:r>
      <w:r>
        <w:t xml:space="preserve">/</w:t>
      </w:r>
      <w:r>
        <w:t xml:space="preserve"> </w:t>
      </w:r>
      <w:r>
        <w:t xml:space="preserve">“this project’s AGENTS.md”</w:t>
      </w:r>
      <w:r>
        <w:t xml:space="preserve"> </w:t>
      </w:r>
      <w:r>
        <w:t xml:space="preserve">→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1a19370729e0fd8e70a6c2c813ef933c504b28a"/>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2f031cbf098e7a71791e16ad323d358bb2382f8"/>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w:t>
      </w:r>
      <w:r>
        <w:t xml:space="preserve"> </w:t>
      </w:r>
      <w:r>
        <w:t xml:space="preserve">“nothing could</w:t>
      </w:r>
      <w:r>
        <w:t xml:space="preserve"> </w:t>
      </w:r>
      <w:r>
        <w:t xml:space="preserve">have changed”</w:t>
      </w:r>
      <w:r>
        <w:t xml:space="preserve"> </w:t>
      </w:r>
      <w:r>
        <w:t xml:space="preserve">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aaca6b650afc321448a49a93a02322f547926c1"/>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4820795d94ab9be308d28bc8c8863465b9e5fbc"/>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aa80c3bbbb09729f01324bc38ac27d507a09777"/>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w:t>
      </w:r>
      <w:r>
        <w:t xml:space="preserve"> </w:t>
      </w:r>
      <w:r>
        <w:t xml:space="preserve">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r>
        <w:t xml:space="preserve"> </w:t>
      </w:r>
      <w:r>
        <w:t xml:space="preserve">+ 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r>
        <w:t xml:space="preserve"> </w:t>
      </w:r>
      <w:r>
        <w:t xml:space="preserve">### Iteration-discipline mandate (§11.4.42, User mandate 2026-05-18)</w:t>
      </w:r>
    </w:p>
    <w:p>
      <w:pPr>
        <w:pStyle w:val="BodyText"/>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1"/>
    <w:bookmarkStart w:id="42" w:name="X2280bd44ca064fea220f9f9a9347a834e94041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2"/>
    <w:bookmarkStart w:id="43" w:name="Xd87493d4395ecb3a501836f04ef3bcba34822d4"/>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r>
        <w:t xml:space="preserve"> </w:t>
      </w:r>
      <w:r>
        <w:t xml:space="preserve">+</w:t>
      </w:r>
      <w:r>
        <w:t xml:space="preserve"> </w:t>
      </w: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3"/>
    <w:bookmarkStart w:id="44" w:name="X0482e609e6589c441c20facb61783f85b9f7bc3"/>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4"/>
    <w:bookmarkStart w:id="45" w:name="Xb6c28d19acd174bb6910278b4d6a2649d3761db"/>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r>
        <w:t xml:space="preserve"> </w:t>
      </w:r>
      <w:r>
        <w:t xml:space="preserve">+ §11.4.42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5"/>
    <w:bookmarkStart w:id="46" w:name="Xa4e2fcd9fc1d55edcbdc90d8215ad5ca8cd59bc"/>
    <w:p>
      <w:pPr>
        <w:pStyle w:val="Heading3"/>
      </w:pPr>
      <w:r>
        <w:t xml:space="preserve">Firebase data review (§11.4.47, User mandate 2026-05-18)</w:t>
      </w:r>
    </w:p>
    <w:p>
      <w:pPr>
        <w:pStyle w:val="FirstParagraph"/>
      </w:pPr>
      <w:r>
        <w:t xml:space="preserve">Before every</w:t>
      </w:r>
      <w:r>
        <w:t xml:space="preserve"> </w:t>
      </w:r>
      <w:r>
        <w:t xml:space="preserve">“bigger working round”</w:t>
      </w:r>
      <w:r>
        <w:t xml:space="preserve"> </w:t>
      </w:r>
      <w:r>
        <w:t xml:space="preserve">(pre-build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6"/>
    <w:bookmarkStart w:id="47" w:name="X99b06be2028295ff74783ff62d2ff80cec8e618"/>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7"/>
    <w:bookmarkStart w:id="48" w:name="X678fa9308afa92375134aef57a01cc47b4c6d70"/>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8"/>
    <w:bookmarkStart w:id="49" w:name="Xc90d81f6262aeb7a4833af8764d9d70e43888cb"/>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49"/>
    <w:bookmarkStart w:id="50" w:name="X8984f2c95e4b8abb6df7bc24aa201ca50dc4114"/>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0"/>
    <w:bookmarkStart w:id="51" w:name="Xb85c4f7f1c72fafa0a7ff07e2d9d5da11286109"/>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1"/>
    <w:bookmarkStart w:id="52" w:name="Xef8ae968b96c2deb41077ff0e988451aebb7876"/>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2"/>
    <w:bookmarkStart w:id="53" w:name="Xa23204e934100de57dea9eee3fae3cfe8ec9437"/>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3"/>
    <w:bookmarkStart w:id="54" w:name="X36373c906f4e4033728d5a460d586c6f2bbeac3"/>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4"/>
    <w:bookmarkStart w:id="55" w:name="X3b9c6d0f110742fe52ca62fba6fea42163028f1"/>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5"/>
    <w:bookmarkStart w:id="56" w:name="X37a4c584562549922be64831daee0ee990fb88c"/>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6"/>
    <w:bookmarkStart w:id="57" w:name="X1f137c7b8278c2633d01855af502c5018b9f2a0"/>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BodyText"/>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7"/>
    <w:bookmarkStart w:id="58" w:name="X53b18210b3a20d3f0ce6f6894f542dcb7c2f179"/>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r>
        <w:t xml:space="preserve"> </w:t>
      </w:r>
      <w:r>
        <w:t xml:space="preserve">+ §11.4.18 + §11.4.44 + §11.4.45 + §11.4.53 + §11.4.56 + §11.4.57 +</w:t>
      </w:r>
      <w:r>
        <w:t xml:space="preserve"> </w:t>
      </w:r>
      <w:r>
        <w:t xml:space="preserve">§12.10.</w:t>
      </w:r>
    </w:p>
    <w:p>
      <w:pPr>
        <w:pStyle w:val="BodyText"/>
      </w:pPr>
      <w:r>
        <w:t xml:space="preserve">Classification: universal (§11.4.17). See Constitution §11.4.59 for</w:t>
      </w:r>
      <w:r>
        <w:t xml:space="preserve"> </w:t>
      </w:r>
      <w:r>
        <w:t xml:space="preserve">the full mandate.</w:t>
      </w:r>
    </w:p>
    <w:bookmarkEnd w:id="58"/>
    <w:bookmarkStart w:id="59" w:name="Xf0f517838a53d677bfc22906b1979cc138504d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59"/>
    <w:bookmarkStart w:id="60"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0"/>
    <w:bookmarkStart w:id="61"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1"/>
    <w:bookmarkStart w:id="62"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Start w:id="63"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3"/>
    <w:bookmarkEnd w:id="64"/>
    <w:bookmarkStart w:id="65" w:name="cli-workflow-expectations"/>
    <w:p>
      <w:pPr>
        <w:pStyle w:val="Heading2"/>
      </w:pPr>
      <w:r>
        <w:t xml:space="preserve">CLI workflow expectations</w:t>
      </w:r>
    </w:p>
    <w:p>
      <w:pPr>
        <w:pStyle w:val="Compact"/>
        <w:numPr>
          <w:ilvl w:val="0"/>
          <w:numId w:val="1005"/>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05"/>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05"/>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05"/>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05"/>
        </w:numPr>
      </w:pPr>
      <w:r>
        <w:rPr>
          <w:b/>
          <w:bCs/>
        </w:rPr>
        <w:t xml:space="preserve">Run pre-build / post-build / runtime gates</w:t>
      </w:r>
      <w:r>
        <w:t xml:space="preserve"> </w:t>
      </w:r>
      <w:r>
        <w:t xml:space="preserve">before declaring a</w:t>
      </w:r>
      <w:r>
        <w:t xml:space="preserve"> </w:t>
      </w:r>
      <w:r>
        <w:t xml:space="preserve">change complete. NEVER report</w:t>
      </w:r>
      <w:r>
        <w:t xml:space="preserve"> </w:t>
      </w:r>
      <w:r>
        <w:t xml:space="preserve">“done”</w:t>
      </w:r>
      <w:r>
        <w:t xml:space="preserve"> </w:t>
      </w:r>
      <w:r>
        <w:t xml:space="preserve">without running the</w:t>
      </w:r>
      <w:r>
        <w:t xml:space="preserve"> </w:t>
      </w:r>
      <w:r>
        <w:t xml:space="preserve">relevant gate.</w:t>
      </w:r>
    </w:p>
    <w:p>
      <w:pPr>
        <w:pStyle w:val="Compact"/>
        <w:numPr>
          <w:ilvl w:val="0"/>
          <w:numId w:val="1005"/>
        </w:numPr>
      </w:pPr>
      <w:r>
        <w:rPr>
          <w:b/>
          <w:bCs/>
        </w:rPr>
        <w:t xml:space="preserve">Cite external research sources</w:t>
      </w:r>
      <w:r>
        <w:t xml:space="preserve"> </w:t>
      </w:r>
      <w:r>
        <w:t xml:space="preserve">for non-trivial fixes</w:t>
      </w:r>
      <w:r>
        <w:t xml:space="preserve"> </w:t>
      </w:r>
      <w:r>
        <w:t xml:space="preserve">(§11.4.8). Either a citation OR the literal</w:t>
      </w:r>
      <w:r>
        <w:t xml:space="preserve"> </w:t>
      </w:r>
      <w:r>
        <w:t xml:space="preserve">“NO external</w:t>
      </w:r>
      <w:r>
        <w:t xml:space="preserve"> </w:t>
      </w:r>
      <w:r>
        <w:t xml:space="preserve">solution found — original work”</w:t>
      </w:r>
      <w:r>
        <w:t xml:space="preserve">.</w:t>
      </w:r>
    </w:p>
    <w:p>
      <w:pPr>
        <w:pStyle w:val="Compact"/>
        <w:numPr>
          <w:ilvl w:val="0"/>
          <w:numId w:val="1005"/>
        </w:numPr>
      </w:pPr>
      <w:r>
        <w:rPr>
          <w:b/>
          <w:bCs/>
        </w:rPr>
        <w:t xml:space="preserve">Refuse to bluff.</w:t>
      </w:r>
      <w:r>
        <w:t xml:space="preserve"> </w:t>
      </w:r>
      <w:r>
        <w:t xml:space="preserve">If a step requires information you don’t</w:t>
      </w:r>
      <w:r>
        <w:t xml:space="preserve"> </w:t>
      </w:r>
      <w:r>
        <w:t xml:space="preserve">have, say so and STOP. Don’t guess.</w:t>
      </w:r>
    </w:p>
    <w:bookmarkEnd w:id="65"/>
    <w:bookmarkStart w:id="66"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06"/>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06"/>
        </w:numPr>
      </w:pPr>
      <w:r>
        <w:rPr>
          <w:rStyle w:val="VerbatimChar"/>
          <w:b/>
          <w:bCs/>
        </w:rPr>
        <w:t xml:space="preserve">constitution/Constitution.md</w:t>
      </w:r>
      <w:r>
        <w:t xml:space="preserve"> </w:t>
      </w:r>
      <w:r>
        <w:t xml:space="preserve">(this submodule) — universal.</w:t>
      </w:r>
    </w:p>
    <w:p>
      <w:pPr>
        <w:pStyle w:val="Compact"/>
        <w:numPr>
          <w:ilvl w:val="0"/>
          <w:numId w:val="1006"/>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06"/>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6"/>
    <w:bookmarkStart w:id="115" w:name="when-stuck"/>
    <w:p>
      <w:pPr>
        <w:pStyle w:val="Heading2"/>
      </w:pPr>
      <w:r>
        <w:t xml:space="preserve">When stuck</w:t>
      </w:r>
    </w:p>
    <w:p>
      <w:pPr>
        <w:pStyle w:val="Compact"/>
        <w:numPr>
          <w:ilvl w:val="0"/>
          <w:numId w:val="1007"/>
        </w:numPr>
      </w:pPr>
      <w:r>
        <w:t xml:space="preserve">Read</w:t>
      </w:r>
      <w:r>
        <w:t xml:space="preserve"> </w:t>
      </w:r>
      <w:r>
        <w:rPr>
          <w:rStyle w:val="VerbatimChar"/>
        </w:rPr>
        <w:t xml:space="preserve">constitution/Constitution.md</w:t>
      </w:r>
      <w:r>
        <w:t xml:space="preserve">.</w:t>
      </w:r>
    </w:p>
    <w:p>
      <w:pPr>
        <w:pStyle w:val="Compact"/>
        <w:numPr>
          <w:ilvl w:val="0"/>
          <w:numId w:val="1007"/>
        </w:numPr>
      </w:pPr>
      <w:r>
        <w:t xml:space="preserve">Cross-reference the project’s CLAUDE.md / AGENTS.md.</w:t>
      </w:r>
    </w:p>
    <w:p>
      <w:pPr>
        <w:pStyle w:val="Compact"/>
        <w:numPr>
          <w:ilvl w:val="0"/>
          <w:numId w:val="1007"/>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 paired meta-test mutations per §1.1.</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8">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1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1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1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1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1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1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1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1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1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0"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w:t>
      </w:r>
      <w:r>
        <w:t xml:space="preserve"> </w:t>
      </w:r>
      <w:r>
        <w:t xml:space="preserve">“waiting for results”</w:t>
      </w:r>
      <w:r>
        <w:t xml:space="preserve"> </w:t>
      </w:r>
      <w:r>
        <w:t xml:space="preserve">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0"/>
    <w:bookmarkStart w:id="71" w:name="Xc2e27421b727ba2779108faf452a946a3cfca8a"/>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§11.4.90. Non-compliance is a release blocker.</w:t>
      </w:r>
    </w:p>
    <w:bookmarkEnd w:id="71"/>
    <w:bookmarkStart w:id="72" w:name="X180a39a34ee2a64381ac059c572df31d588a05a"/>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§11.4.91. Non-compliance is a release blocker.</w:t>
      </w:r>
    </w:p>
    <w:bookmarkEnd w:id="72"/>
    <w:bookmarkStart w:id="73" w:name="Xbe7f461f174242c87761caa00233eb814c37407"/>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§11.4.92. Non-compliance is a release blocker.</w:t>
      </w:r>
    </w:p>
    <w:bookmarkEnd w:id="73"/>
    <w:bookmarkStart w:id="74" w:name="X45105d9baf9167057cdf28fe741b82199333fac"/>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§11.4.93. Non-compliance is a release blocker.</w:t>
      </w:r>
    </w:p>
    <w:bookmarkEnd w:id="74"/>
    <w:bookmarkStart w:id="75" w:name="X670e9f3b718bdf4b352b15432b07528762cdedb"/>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w:t>
      </w:r>
      <w:r>
        <w:t xml:space="preserve"> </w:t>
      </w:r>
      <w:r>
        <w:t xml:space="preserve">“nothing to do”</w:t>
      </w:r>
      <w:r>
        <w:t xml:space="preserve"> </w:t>
      </w:r>
      <w:r>
        <w:t xml:space="preserve">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§11.4.94. Non-compliance is a release blocker.</w:t>
      </w:r>
    </w:p>
    <w:bookmarkEnd w:id="75"/>
    <w:bookmarkStart w:id="76" w:name="Xd908a14e22eb8f59f3398097d1e360d80a402f1"/>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§11.4.95. Non-compliance is a release blocker.</w:t>
      </w:r>
    </w:p>
    <w:bookmarkEnd w:id="76"/>
    <w:bookmarkStart w:id="77" w:name="Xd4eda0aa8007d4eed7790e9b89cdbd410a9e351"/>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w:t>
      </w:r>
      <w:r>
        <w:t xml:space="preserve"> </w:t>
      </w:r>
      <w:r>
        <w:t xml:space="preserve">“Build running, nothing else to do”</w:t>
      </w:r>
      <w:r>
        <w:t xml:space="preserve"> </w:t>
      </w:r>
      <w:r>
        <w:t xml:space="preserve">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§11.4.96. Non-compliance is a release blocker.</w:t>
      </w:r>
    </w:p>
    <w:bookmarkEnd w:id="77"/>
    <w:bookmarkStart w:id="78" w:name="Xb1ff67f2bb68684a932262e93822c674bd8aa63"/>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§11.4.97. Non-compliance is a release blocker.</w:t>
      </w:r>
    </w:p>
    <w:bookmarkEnd w:id="78"/>
    <w:bookmarkStart w:id="79"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w:t>
      </w:r>
      <w:r>
        <w:t xml:space="preserve"> </w:t>
      </w:r>
      <w:r>
        <w:t xml:space="preserve">“operator MUST type”</w:t>
      </w:r>
      <w:r>
        <w:t xml:space="preserve"> </w:t>
      </w:r>
      <w:r>
        <w:t xml:space="preserve">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§11.4.98. Non-compliance is a release blocker.</w:t>
      </w:r>
    </w:p>
    <w:bookmarkEnd w:id="79"/>
    <w:bookmarkStart w:id="80"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w:t>
      </w:r>
      <w:r>
        <w:t xml:space="preserve"> </w:t>
      </w:r>
      <w:r>
        <w:t xml:space="preserve">“Make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Compact"/>
        <w:numPr>
          <w:ilvl w:val="0"/>
          <w:numId w:val="1012"/>
        </w:numPr>
      </w:pPr>
      <w:r>
        <w:t xml:space="preserve">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w:t>
      </w:r>
      <w:r>
        <w:t xml:space="preserve"> </w:t>
      </w:r>
      <w:r>
        <w:t xml:space="preserve">“## Sources verified”</w:t>
      </w:r>
      <w:r>
        <w:t xml:space="preserve"> </w:t>
      </w:r>
      <w:r>
        <w:t xml:space="preserve">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FirstParagraph"/>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0"/>
    <w:bookmarkStart w:id="81" w:name="X490685c5ee037d09c832b74717ab315dbd9f4ff"/>
    <w:p>
      <w:pPr>
        <w:pStyle w:val="Heading3"/>
      </w:pPr>
      <w:r>
        <w:t xml:space="preserve">§11.4.101 — Autonomous-decision-over-blocking mandate (User mandate, 2026-05-28)</w:t>
      </w:r>
    </w:p>
    <w:p>
      <w:pPr>
        <w:pStyle w:val="FirstParagraph"/>
      </w:pPr>
      <w: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§11.4.101. Non-compliance is a release blocker.</w:t>
      </w:r>
    </w:p>
    <w:bookmarkEnd w:id="81"/>
    <w:bookmarkStart w:id="82"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w:t>
      </w:r>
      <w:r>
        <w:t xml:space="preserve"> </w:t>
      </w: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w:t>
      </w:r>
      <w:r>
        <w:t xml:space="preserve">“probably transient/flaky”</w:t>
      </w:r>
      <w:r>
        <w:t xml:space="preserve">)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§11.4.102. Non-compliance is a release blocker.</w:t>
      </w:r>
    </w:p>
    <w:bookmarkEnd w:id="82"/>
    <w:bookmarkStart w:id="83"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§11.4.103. Non-compliance is a release blocker.</w:t>
      </w:r>
    </w:p>
    <w:bookmarkEnd w:id="83"/>
    <w:bookmarkStart w:id="84"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4"/>
    <w:bookmarkStart w:id="85"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5"/>
    <w:bookmarkStart w:id="86"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6"/>
    <w:bookmarkStart w:id="87"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7"/>
    <w:bookmarkStart w:id="88"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8"/>
    <w:bookmarkStart w:id="89"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89"/>
    <w:bookmarkStart w:id="90"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0"/>
    <w:bookmarkStart w:id="91"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1"/>
    <w:bookmarkStart w:id="92"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2"/>
    <w:bookmarkStart w:id="93"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3"/>
    <w:bookmarkStart w:id="94"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4"/>
    <w:bookmarkStart w:id="95"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5"/>
    <w:bookmarkStart w:id="96"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6"/>
    <w:bookmarkStart w:id="97"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7"/>
    <w:bookmarkStart w:id="98"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8"/>
    <w:bookmarkStart w:id="99"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99"/>
    <w:bookmarkStart w:id="100"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0"/>
    <w:bookmarkStart w:id="101"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1"/>
    <w:bookmarkStart w:id="102"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2"/>
    <w:bookmarkStart w:id="103"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3"/>
    <w:bookmarkStart w:id="104"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4"/>
    <w:bookmarkStart w:id="105"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5"/>
    <w:bookmarkStart w:id="106"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6"/>
    <w:bookmarkStart w:id="107"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7"/>
    <w:bookmarkStart w:id="108"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8"/>
    <w:bookmarkStart w:id="109"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09"/>
    <w:bookmarkStart w:id="110"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0"/>
    <w:bookmarkStart w:id="111"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1"/>
    <w:bookmarkStart w:id="112"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2"/>
    <w:bookmarkStart w:id="113"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3"/>
    <w:bookmarkStart w:id="11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(https://github.com/nexu-io/open-design)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w:t>
      </w:r>
      <w:r>
        <w:t xml:space="preserve"> </w:t>
      </w:r>
      <w:r>
        <w:t xml:space="preserve">“green”</w:t>
      </w:r>
      <w:r>
        <w:t xml:space="preserve"> </w:t>
      </w:r>
      <w:r>
        <w:t xml:space="preserve">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2026-06-29T17:03:22Z</dcterms:created>
  <dcterms:modified xsi:type="dcterms:W3CDTF">2026-06-29T17:03:22Z</dcterms:modified>
</cp:coreProperties>
</file>

<file path=docProps/custom.xml><?xml version="1.0" encoding="utf-8"?>
<Properties xmlns="http://schemas.openxmlformats.org/officeDocument/2006/custom-properties" xmlns:vt="http://schemas.openxmlformats.org/officeDocument/2006/docPropsVTypes"/>
</file>