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8"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7"/>
    <w:bookmarkEnd w:id="58"/>
    <w:bookmarkStart w:id="63"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9" w:name="forbidden-directly-or-indirectly"/>
    <w:p>
      <w:pPr>
        <w:pStyle w:val="Heading3"/>
      </w:pPr>
      <w:r>
        <w:t xml:space="preserve">Forbidden — directly OR indirectly</w:t>
      </w:r>
    </w:p>
    <w:p>
      <w:pPr>
        <w:pStyle w:val="Compact"/>
        <w:numPr>
          <w:ilvl w:val="0"/>
          <w:numId w:val="1009"/>
        </w:numPr>
      </w:pPr>
      <w:r>
        <w:t xml:space="preserve">Suspending the host (</w:t>
      </w:r>
      <w:r>
        <w:rPr>
          <w:rStyle w:val="VerbatimChar"/>
        </w:rPr>
        <w:t xml:space="preserve">systemctl suspend</w:t>
      </w:r>
      <w:r>
        <w:t xml:space="preserve">, etc.).</w:t>
      </w:r>
    </w:p>
    <w:p>
      <w:pPr>
        <w:pStyle w:val="Compact"/>
        <w:numPr>
          <w:ilvl w:val="0"/>
          <w:numId w:val="1009"/>
        </w:numPr>
      </w:pPr>
      <w:r>
        <w:t xml:space="preserve">Hibernating / hybrid-sleeping the host.</w:t>
      </w:r>
    </w:p>
    <w:p>
      <w:pPr>
        <w:pStyle w:val="Compact"/>
        <w:numPr>
          <w:ilvl w:val="0"/>
          <w:numId w:val="100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0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09"/>
        </w:numPr>
      </w:pPr>
      <w:r>
        <w:t xml:space="preserve">Programmatic rfkill toggles, lid-switch handlers, power-button</w:t>
      </w:r>
      <w:r>
        <w:t xml:space="preserve"> </w:t>
      </w:r>
      <w:r>
        <w:t xml:space="preserve">handlers — these cascade into idle-actions.</w:t>
      </w:r>
    </w:p>
    <w:p>
      <w:pPr>
        <w:pStyle w:val="Compact"/>
        <w:numPr>
          <w:ilvl w:val="0"/>
          <w:numId w:val="1009"/>
        </w:numPr>
      </w:pPr>
      <w:r>
        <w:t xml:space="preserve">Disabling session managers</w:t>
      </w:r>
      <w:r>
        <w:t xml:space="preserve"> </w:t>
      </w:r>
      <w:r>
        <w:t xml:space="preserve">“to make things faster”</w:t>
      </w:r>
      <w:r>
        <w:t xml:space="preserve">.</w:t>
      </w:r>
    </w:p>
    <w:bookmarkEnd w:id="59"/>
    <w:bookmarkStart w:id="60" w:name="required-safeguards-for-heavy-scripts"/>
    <w:p>
      <w:pPr>
        <w:pStyle w:val="Heading3"/>
      </w:pPr>
      <w:r>
        <w:t xml:space="preserve">Required safeguards for heavy scripts</w:t>
      </w:r>
    </w:p>
    <w:p>
      <w:pPr>
        <w:pStyle w:val="Compact"/>
        <w:numPr>
          <w:ilvl w:val="0"/>
          <w:numId w:val="1010"/>
        </w:numPr>
      </w:pPr>
      <w:r>
        <w:t xml:space="preserve">Source the project’s host-safety helper library.</w:t>
      </w:r>
    </w:p>
    <w:p>
      <w:pPr>
        <w:pStyle w:val="Compact"/>
        <w:numPr>
          <w:ilvl w:val="0"/>
          <w:numId w:val="1010"/>
        </w:numPr>
      </w:pPr>
      <w:r>
        <w:t xml:space="preserve">Call its pre-flight check and abort if it fails.</w:t>
      </w:r>
    </w:p>
    <w:p>
      <w:pPr>
        <w:pStyle w:val="Compact"/>
        <w:numPr>
          <w:ilvl w:val="0"/>
          <w:numId w:val="1010"/>
        </w:numPr>
      </w:pPr>
      <w:r>
        <w:t xml:space="preserve">Wrap any subprocess expected to exceed ~4 GiB RSS in a bounded</w:t>
      </w:r>
      <w:r>
        <w:t xml:space="preserve"> </w:t>
      </w:r>
      <w:r>
        <w:t xml:space="preserve">execution scope.</w:t>
      </w:r>
    </w:p>
    <w:p>
      <w:pPr>
        <w:pStyle w:val="Compact"/>
        <w:numPr>
          <w:ilvl w:val="0"/>
          <w:numId w:val="1010"/>
        </w:numPr>
      </w:pPr>
      <w:r>
        <w:t xml:space="preserve">Cap parallelism to fit available RAM.</w:t>
      </w:r>
    </w:p>
    <w:bookmarkEnd w:id="60"/>
    <w:bookmarkStart w:id="61"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1"/>
    <w:bookmarkStart w:id="62"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End w:id="63"/>
    <w:bookmarkStart w:id="64"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1"/>
        </w:numPr>
      </w:pPr>
      <w:r>
        <w:rPr>
          <w:b/>
          <w:bCs/>
        </w:rPr>
        <w:t xml:space="preserve">Define expected post-op state</w:t>
      </w:r>
      <w:r>
        <w:t xml:space="preserve">.</w:t>
      </w:r>
    </w:p>
    <w:p>
      <w:pPr>
        <w:pStyle w:val="Compact"/>
        <w:numPr>
          <w:ilvl w:val="0"/>
          <w:numId w:val="101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4"/>
    <w:bookmarkStart w:id="65" w:name="mandatory-commit-push-constraints"/>
    <w:p>
      <w:pPr>
        <w:pStyle w:val="Heading2"/>
      </w:pPr>
      <w:r>
        <w:t xml:space="preserve">MANDATORY COMMIT &amp; PUSH CONSTRAINTS</w:t>
      </w:r>
    </w:p>
    <w:p>
      <w:pPr>
        <w:pStyle w:val="Compact"/>
        <w:numPr>
          <w:ilvl w:val="0"/>
          <w:numId w:val="1012"/>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1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1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1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5"/>
    <w:bookmarkStart w:id="66"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13"/>
        </w:numPr>
      </w:pPr>
      <w:r>
        <w:rPr>
          <w:b/>
          <w:bCs/>
        </w:rPr>
        <w:t xml:space="preserve">Pre-build / pre-merge verification</w:t>
      </w:r>
      <w:r>
        <w:t xml:space="preserve"> </w:t>
      </w:r>
      <w:r>
        <w:t xml:space="preserve">— BEFORE every build.</w:t>
      </w:r>
    </w:p>
    <w:p>
      <w:pPr>
        <w:pStyle w:val="Compact"/>
        <w:numPr>
          <w:ilvl w:val="0"/>
          <w:numId w:val="1013"/>
        </w:numPr>
      </w:pPr>
      <w:r>
        <w:rPr>
          <w:b/>
          <w:bCs/>
        </w:rPr>
        <w:t xml:space="preserve">Post-build / packaging verification</w:t>
      </w:r>
      <w:r>
        <w:t xml:space="preserve"> </w:t>
      </w:r>
      <w:r>
        <w:t xml:space="preserve">— AFTER every build.</w:t>
      </w:r>
    </w:p>
    <w:p>
      <w:pPr>
        <w:pStyle w:val="Compact"/>
        <w:numPr>
          <w:ilvl w:val="0"/>
          <w:numId w:val="1013"/>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6"/>
    <w:bookmarkStart w:id="67"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1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14"/>
        </w:numPr>
      </w:pPr>
      <w:r>
        <w:t xml:space="preserve">Static analyzers / linters / type-checkers MUST run clean (zero</w:t>
      </w:r>
      <w:r>
        <w:t xml:space="preserve"> </w:t>
      </w:r>
      <w:r>
        <w:t xml:space="preserve">warnings) before commit.</w:t>
      </w:r>
    </w:p>
    <w:p>
      <w:pPr>
        <w:pStyle w:val="Compact"/>
        <w:numPr>
          <w:ilvl w:val="0"/>
          <w:numId w:val="1014"/>
        </w:numPr>
      </w:pPr>
      <w:r>
        <w:t xml:space="preserve">Style is set by the project’s formatter; do not hand-edit style</w:t>
      </w:r>
      <w:r>
        <w:t xml:space="preserve"> </w:t>
      </w:r>
      <w:r>
        <w:t xml:space="preserve">in PRs.</w:t>
      </w:r>
    </w:p>
    <w:p>
      <w:pPr>
        <w:pStyle w:val="Compact"/>
        <w:numPr>
          <w:ilvl w:val="0"/>
          <w:numId w:val="1014"/>
        </w:numPr>
      </w:pPr>
      <w:r>
        <w:t xml:space="preserve">Public APIs are documented at the source.</w:t>
      </w:r>
    </w:p>
    <w:bookmarkEnd w:id="67"/>
    <w:bookmarkStart w:id="121" w:name="when-in-doubt"/>
    <w:p>
      <w:pPr>
        <w:pStyle w:val="Heading2"/>
      </w:pPr>
      <w:r>
        <w:t xml:space="preserve">When in doubt</w:t>
      </w:r>
    </w:p>
    <w:p>
      <w:pPr>
        <w:pStyle w:val="Compact"/>
        <w:numPr>
          <w:ilvl w:val="0"/>
          <w:numId w:val="101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15"/>
        </w:numPr>
      </w:pPr>
      <w:r>
        <w:t xml:space="preserve">Cross-reference the project’s CLAUDE.md / AGENTS.md for project-</w:t>
      </w:r>
      <w:r>
        <w:t xml:space="preserve"> </w:t>
      </w:r>
      <w:r>
        <w:t xml:space="preserve">specific extensions.</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6"/>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6"/>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6"/>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7"/>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7"/>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7"/>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8"/>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8"/>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8"/>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8"/>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8"/>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 </w:t>
      </w:r>
      <w:r>
        <w:rPr>
          <w:rStyle w:val="VerbatimChar"/>
        </w:rPr>
        <w:t xml:space="preserve">RLIMIT_CPU</w:t>
      </w:r>
      <w:r>
        <w:t xml:space="preserve">+</w:t>
      </w:r>
      <w:r>
        <w:rPr>
          <w:rStyle w:val="VerbatimChar"/>
        </w:rPr>
        <w:t xml:space="preserve">SIGXCPU</w:t>
      </w:r>
      <w:r>
        <w:t xml:space="preserve"> </w:t>
      </w:r>
      <w:r>
        <w:t xml:space="preserve">as the macOS proxy for</w:t>
      </w:r>
      <w:r>
        <w:t xml:space="preserve"> </w:t>
      </w:r>
      <w:r>
        <w:t xml:space="preserve">“process is bounded”</w:t>
      </w:r>
      <w:r>
        <w:t xml:space="preserve">).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w:t>
      </w:r>
      <w:r>
        <w:t xml:space="preserve"> </w:t>
      </w:r>
      <w:r>
        <w:t xml:space="preserve">“we didn’t implement yet”</w:t>
      </w:r>
      <w:r>
        <w:t xml:space="preserve">),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w:t>
      </w:r>
      <w:r>
        <w:t xml:space="preserve"> </w:t>
      </w: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19"/>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19"/>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19"/>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19"/>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19"/>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19"/>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19"/>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19"/>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19"/>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0" w:name="Xc0e547589a000b4ff39571fc9bf04c5a5725fe1"/>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7"/>
    <w:bookmarkStart w:id="78"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8"/>
    <w:bookmarkStart w:id="79"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9"/>
    <w:bookmarkStart w:id="80"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81"/>
    <w:bookmarkStart w:id="82"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82"/>
    <w:bookmarkStart w:id="83"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3"/>
    <w:bookmarkStart w:id="84"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4"/>
    <w:bookmarkStart w:id="8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0"/>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5"/>
    <w:bookmarkStart w:id="86"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6"/>
    <w:bookmarkStart w:id="87" w:name="X490685c5ee037d09c832b74717ab315dbd9f4ff"/>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w:t>
      </w:r>
      <w:r>
        <w:t xml:space="preserve"> </w:t>
      </w:r>
      <w:r>
        <w:t xml:space="preserve">“green”</w:t>
      </w:r>
      <w:r>
        <w:t xml:space="preserve"> </w:t>
      </w:r>
      <w:r>
        <w:t xml:space="preserve">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2026-06-29T17:03:08Z</dcterms:created>
  <dcterms:modified xsi:type="dcterms:W3CDTF">2026-06-29T17:03:08Z</dcterms:modified>
</cp:coreProperties>
</file>

<file path=docProps/custom.xml><?xml version="1.0" encoding="utf-8"?>
<Properties xmlns="http://schemas.openxmlformats.org/officeDocument/2006/custom-properties" xmlns:vt="http://schemas.openxmlformats.org/officeDocument/2006/docPropsVTypes"/>
</file>