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2026-06-15T13:44:25Z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exists. Exactly one feature is video-confirmed today (the unified-translator DeepSeek EN→Spanish run).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reflects the strongest evidence the inventory supports;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None. No feature in this set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 (= detailed rows in the source inventory, 1:1)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(unified-translator DeepSeek translation) — ≈ 0.21% of 470 enumerated rows (≈ 0.24%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0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FB2 remote-translate workflow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syncs binary, runs remote FB2→MD→translate→EPUB, downloads + verifies outputs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Positional args (no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&lt;source_fb2&gt; &lt;target_lang&gt; &lt;remote_host&gt; &lt;remote_user&gt; &lt;remote_password&gt;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Output verification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Verifies MD/EPUB exist, non-degenerate, target-language (Cyrillic)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SSH translation system (fixed-config)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Hardcoded Russian→Serbian-Cyrillic workflow over SSH worker w/ llama.cpp; WebSocket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(no CLI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All config hardcoded in</w:t>
            </w:r>
            <w:r>
              <w:t xml:space="preserve"> </w:t>
            </w:r>
            <w:r>
              <w:rPr>
                <w:rStyle w:val="VerbatimChar"/>
              </w:rPr>
              <w:t xml:space="preserve">SystemConfig</w:t>
            </w:r>
            <w:r>
              <w:t xml:space="preserve"> </w:t>
            </w:r>
            <w:r>
              <w:t xml:space="preserve">(host, creds, langs, llama providers)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4"/>
    <w:bookmarkStart w:id="25" w:name="cmdtranslate-ssh"/>
    <w:p>
      <w:pPr>
        <w:pStyle w:val="Heading2"/>
      </w:pPr>
      <w:r>
        <w:t xml:space="preserve">cmd/translate-ssh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t xml:space="preserve">SSH worker 4-step FB2→EPUB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FB2→MD → translate (remote llama.cpp) → MD→EPUB; standalone worker invoked by coordinator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Report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5"/>
    <w:bookmarkStart w:id="26" w:name="cmdtranslator"/>
    <w:p>
      <w:pPr>
        <w:pStyle w:val="Heading2"/>
      </w:pPr>
      <w:r>
        <w:t xml:space="preserve">cmd/translator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t xml:space="preserve">Documented FB2 local/remote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Translates locally or via SSH worker (llama.cpp); produces integral documentation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(remote mode)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translated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run captured</w:t>
            </w:r>
            <w:r>
              <w:t xml:space="preserve"> </w:t>
            </w:r>
            <w:r>
              <w:t xml:space="preserve">(DeepSeek EN→Spanish, fix 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3" w:name="library-packages-pkg"/>
    <w:p>
      <w:pPr>
        <w:pStyle w:val="Heading1"/>
      </w:pPr>
      <w:r>
        <w:t xml:space="preserve">2. Library Packages — pkg/</w:t>
      </w:r>
    </w:p>
    <w:bookmarkStart w:id="31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Groq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Cohere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command-r via OpenAI-compat endpoint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Mistral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</w:t>
            </w:r>
          </w:p>
        </w:tc>
        <w:tc>
          <w:tcPr/>
          <w:p>
            <w:pPr>
              <w:pStyle w:val="Compact"/>
            </w:pPr>
            <w:r>
              <w:t xml:space="preserve">xAI (Grok)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Replicate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Async prediction-polling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Cerebras</w:t>
            </w:r>
          </w:p>
        </w:tc>
        <w:tc>
          <w:tcPr/>
          <w:p>
            <w:pPr>
              <w:pStyle w:val="Compact"/>
            </w:pPr>
            <w:r>
              <w:t xml:space="preserve">Cerebras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(base-URL/model 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Cloudflare Workers 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/client/v4 Workers AI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SiliconFlow</w:t>
            </w:r>
          </w:p>
        </w:tc>
        <w:tc>
          <w:tcPr/>
          <w:p>
            <w:pPr>
              <w:pStyle w:val="Compact"/>
            </w:pPr>
            <w:r>
              <w:t xml:space="preserve">SiliconFlow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Hyperbolic</w:t>
            </w:r>
          </w:p>
        </w:tc>
        <w:tc>
          <w:tcPr/>
          <w:p>
            <w:pPr>
              <w:pStyle w:val="Compact"/>
            </w:pPr>
            <w:r>
              <w:t xml:space="preserve">Hyperbolic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TogetherAI</w:t>
            </w:r>
          </w:p>
        </w:tc>
        <w:tc>
          <w:tcPr/>
          <w:p>
            <w:pPr>
              <w:pStyle w:val="Compact"/>
            </w:pPr>
            <w:r>
              <w:t xml:space="preserve">TogetherAI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SambaNova</w:t>
            </w:r>
          </w:p>
        </w:tc>
        <w:tc>
          <w:tcPr/>
          <w:p>
            <w:pPr>
              <w:pStyle w:val="Compact"/>
            </w:pPr>
            <w:r>
              <w:t xml:space="preserve">SambaNova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t xml:space="preserve">Kimi (Moonshot)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Novita</w:t>
            </w:r>
          </w:p>
        </w:tc>
        <w:tc>
          <w:tcPr/>
          <w:p>
            <w:pPr>
              <w:pStyle w:val="Compact"/>
            </w:pPr>
            <w:r>
              <w:t xml:space="preserve">Novita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/v3/openai-compatible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NLPCloud</w:t>
            </w:r>
          </w:p>
        </w:tc>
        <w:tc>
          <w:tcPr/>
          <w:p>
            <w:pPr>
              <w:pStyle w:val="Compact"/>
            </w:pPr>
            <w:r>
              <w:t xml:space="preserve">NLPCloud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Upstage</w:t>
            </w:r>
          </w:p>
        </w:tc>
        <w:tc>
          <w:tcPr/>
          <w:p>
            <w:pPr>
              <w:pStyle w:val="Compact"/>
            </w:pPr>
            <w:r>
              <w:t xml:space="preserve">Upstage (Solar)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Sarvam</w:t>
            </w:r>
          </w:p>
        </w:tc>
        <w:tc>
          <w:tcPr/>
          <w:p>
            <w:pPr>
              <w:pStyle w:val="Compact"/>
            </w:pPr>
            <w:r>
              <w:t xml:space="preserve">Sarvam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</w:t>
            </w:r>
          </w:p>
        </w:tc>
        <w:tc>
          <w:tcPr/>
          <w:p>
            <w:pPr>
              <w:pStyle w:val="Compact"/>
            </w:pPr>
            <w:r>
              <w:t xml:space="preserve">Modal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PublicAI</w:t>
            </w:r>
          </w:p>
        </w:tc>
        <w:tc>
          <w:tcPr/>
          <w:p>
            <w:pPr>
              <w:pStyle w:val="Compact"/>
            </w:pPr>
            <w:r>
              <w:t xml:space="preserve">PublicAI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NIA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Vulavula</w:t>
            </w:r>
          </w:p>
        </w:tc>
        <w:tc>
          <w:tcPr/>
          <w:p>
            <w:pPr>
              <w:pStyle w:val="Compact"/>
            </w:pPr>
            <w:r>
              <w:t xml:space="preserve">Vulavula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1"/>
    <w:bookmarkStart w:id="32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2"/>
    <w:bookmarkStart w:id="33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3"/>
    <w:bookmarkStart w:id="34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4"/>
    <w:bookmarkStart w:id="35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6"/>
    <w:bookmarkStart w:id="37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7"/>
    <w:bookmarkStart w:id="38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2"/>
    <w:bookmarkStart w:id="43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3"/>
    <w:bookmarkStart w:id="44" w:name="pkgsshworker"/>
    <w:p>
      <w:pPr>
        <w:pStyle w:val="Heading2"/>
      </w:pPr>
      <w:r>
        <w:t xml:space="preserve">pkg/sshworker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SSH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exec, file up/download, codebase sync, key generation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Monitored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Event-monitored progress tracking for long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5"/>
    <w:bookmarkStart w:id="46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6"/>
    <w:bookmarkStart w:id="47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7"/>
    <w:bookmarkStart w:id="48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8"/>
    <w:bookmarkStart w:id="49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pkgmodels-modelsbridge"/>
    <w:p>
      <w:pPr>
        <w:pStyle w:val="Heading2"/>
      </w:pPr>
      <w:r>
        <w:t xml:space="preserve">pkg/models &amp; modelsbridge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Translation-model metadata registry (50+ models)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downloader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model download w/ caching + sha256 verification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User domain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User struct, bcrypt hashing, in-memory repo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Error definitions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Domain error constants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Verifier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LLMsVerifier-backed registry w/ thresholds &amp;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modelsbridge</w:t>
            </w:r>
          </w:p>
        </w:tc>
        <w:tc>
          <w:tcPr/>
          <w:p>
            <w:pPr>
              <w:pStyle w:val="Compact"/>
            </w:pPr>
            <w:r>
              <w:t xml:space="preserve">Models bridge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Adapter mapping models.LLMRequest/Response → llm.LLMClient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1"/>
    <w:bookmarkStart w:id="52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63" w:name="web-dashboards-endpoints"/>
    <w:p>
      <w:pPr>
        <w:pStyle w:val="Heading1"/>
      </w:pPr>
      <w:r>
        <w:t xml:space="preserve">3. Web Dashboards &amp; Endpoints</w:t>
      </w:r>
    </w:p>
    <w:bookmarkStart w:id="54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4"/>
    <w:bookmarkStart w:id="55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5"/>
    <w:bookmarkStart w:id="56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6"/>
    <w:bookmarkStart w:id="57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8"/>
    <w:bookmarkStart w:id="59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74" w:name="owned-submodules"/>
    <w:p>
      <w:pPr>
        <w:pStyle w:val="Heading1"/>
      </w:pPr>
      <w:r>
        <w:t xml:space="preserve">4. Owned Submodules</w:t>
      </w:r>
    </w:p>
    <w:bookmarkStart w:id="64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4"/>
    <w:bookmarkStart w:id="65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5"/>
    <w:bookmarkStart w:id="66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6"/>
    <w:bookmarkStart w:id="67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7"/>
    <w:bookmarkStart w:id="68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8"/>
    <w:bookmarkStart w:id="69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9"/>
    <w:bookmarkStart w:id="70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coverage is 1/417.</w:t>
      </w:r>
      <w:r>
        <w:t xml:space="preserve"> </w:t>
      </w:r>
      <w:r>
        <w:t xml:space="preserve">Only the unified-translator DeepSeek run is recorded.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recording. This is stated, not hidden.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