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9" w:name="helixtranslate-feature-status-summary"/>
    <w:p>
      <w:pPr>
        <w:pStyle w:val="Heading1"/>
      </w:pPr>
      <w:r>
        <w:t xml:space="preserve">HelixTranslate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2026-06-15T13:44:25Z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Two-audience companion to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Derived from the same inventory. Per §11.4.44 (revision header), §11.4.60 (always-sync), §11.4.6 (no-guessing).</w:t>
      </w:r>
    </w:p>
    <w:p>
      <w:r>
        <w:pict>
          <v:rect style="width:0;height:1.5pt" o:hralign="center" o:hrstd="t" o:hr="t"/>
        </w:pict>
      </w:r>
    </w:p>
    <w:bookmarkEnd w:id="9"/>
    <w:bookmarkStart w:id="14" w:name="page-1-for-the-team-non-developer"/>
    <w:p>
      <w:pPr>
        <w:pStyle w:val="Heading1"/>
      </w:pPr>
      <w:r>
        <w:t xml:space="preserve">Page 1 — For the team (non-developer)</w:t>
      </w:r>
    </w:p>
    <w:p>
      <w:pPr>
        <w:pStyle w:val="FirstParagraph"/>
      </w:pPr>
      <w:r>
        <w:rPr>
          <w:b/>
          <w:bCs/>
        </w:rPr>
        <w:t xml:space="preserve">What is this?</w:t>
      </w:r>
      <w:r>
        <w:t xml:space="preserve"> </w:t>
      </w:r>
      <w:r>
        <w:t xml:space="preserve">HelixTranslate is an ebook translation system. This page is a plain-language snapshot of how much of it we have catalogued and how much we have proven works on camera.</w:t>
      </w:r>
    </w:p>
    <w:bookmarkStart w:id="10" w:name="what-works"/>
    <w:p>
      <w:pPr>
        <w:pStyle w:val="Heading2"/>
      </w:pPr>
      <w:r>
        <w:t xml:space="preserve">What works</w:t>
      </w:r>
    </w:p>
    <w:p>
      <w:pPr>
        <w:pStyle w:val="Compact"/>
        <w:numPr>
          <w:ilvl w:val="0"/>
          <w:numId w:val="1001"/>
        </w:numPr>
      </w:pPr>
      <w:r>
        <w:t xml:space="preserve">We have a complete catalogue of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in the product and its 8 owned add-on modules —</w:t>
      </w:r>
      <w:r>
        <w:t xml:space="preserve"> </w:t>
      </w:r>
      <w:r>
        <w:rPr>
          <w:b/>
          <w:bCs/>
        </w:rPr>
        <w:t xml:space="preserve">470 individual capabilities</w:t>
      </w:r>
      <w:r>
        <w:t xml:space="preserve"> </w:t>
      </w:r>
      <w:r>
        <w:t xml:space="preserve">(the headline</w:t>
      </w:r>
      <w:r>
        <w:t xml:space="preserve"> </w:t>
      </w:r>
      <w:r>
        <w:t xml:space="preserve">“417”</w:t>
      </w:r>
      <w:r>
        <w:t xml:space="preserve"> </w:t>
      </w:r>
      <w:r>
        <w:t xml:space="preserve">is the same list with closely-related sub-options counted once).</w:t>
      </w:r>
    </w:p>
    <w:p>
      <w:pPr>
        <w:pStyle w:val="Compact"/>
        <w:numPr>
          <w:ilvl w:val="0"/>
          <w:numId w:val="1001"/>
        </w:numPr>
      </w:pPr>
      <w:r>
        <w:t xml:space="preserve">The vast majority —</w:t>
      </w:r>
      <w:r>
        <w:t xml:space="preserve"> </w:t>
      </w:r>
      <w:r>
        <w:rPr>
          <w:b/>
          <w:bCs/>
        </w:rPr>
        <w:t xml:space="preserve">464 of 470</w:t>
      </w:r>
      <w:r>
        <w:t xml:space="preserve"> </w:t>
      </w:r>
      <w:r>
        <w:t xml:space="preserve">— are fully built and reachable in the product: the command-line translators, the web dashboards, the REST and gRPC servers, ~32 built-in AI providers, ebook format readers/writers (FB2, EPUB, DOCX, HTML, TXT, PDF), caching, security, and all 8 add-on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feature is proven on a real recording:</w:t>
      </w:r>
      <w:r>
        <w:t xml:space="preserve"> </w:t>
      </w:r>
      <w:r>
        <w:t xml:space="preserve">the primary command-line translator (</w:t>
      </w:r>
      <w:r>
        <w:rPr>
          <w:rStyle w:val="VerbatimChar"/>
        </w:rPr>
        <w:t xml:space="preserve">unified-translator</w:t>
      </w:r>
      <w:r>
        <w:t xml:space="preserve">) doing a real English → Spanish translation with the DeepSeek AI provider. The fix it depended on was verified in that recording.</w:t>
      </w:r>
    </w:p>
    <w:bookmarkEnd w:id="10"/>
    <w:bookmarkStart w:id="11" w:name="what-is-pending-or-limited"/>
    <w:p>
      <w:pPr>
        <w:pStyle w:val="Heading2"/>
      </w:pPr>
      <w:r>
        <w:t xml:space="preserve">What is pending or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proof is the big gap.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1 of 470</w:t>
      </w:r>
      <w:r>
        <w:t xml:space="preserve"> </w:t>
      </w:r>
      <w:r>
        <w:t xml:space="preserve">features has a recorded, watch-it-yourself demonstration so far (about 0.2%). Everything else is built and present in the code, but a recording proving it end-to-end is still owed. This is shown honestly — we are not claiming a feature is proven just because the code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features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“stubs”</w:t>
      </w:r>
      <w:r>
        <w:t xml:space="preserve"> </w:t>
      </w:r>
      <w:r>
        <w:t xml:space="preserve">— they look like real endpoints but currently return placeholder data instead of doing the real work: ebook-translate-via-API, the two preparation/analysis API endpoints, and translate-with-verification.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 features are partial:</w:t>
      </w:r>
      <w:r>
        <w:t xml:space="preserve"> </w:t>
      </w:r>
      <w:r>
        <w:t xml:space="preserve">one batch API endpoint just queues without translating, and the image-analysis (OpenCV) module ships a placeholder unless a special build option is turned on.</w:t>
      </w:r>
    </w:p>
    <w:p>
      <w:pPr>
        <w:pStyle w:val="Compact"/>
        <w:numPr>
          <w:ilvl w:val="0"/>
          <w:numId w:val="1002"/>
        </w:numPr>
      </w:pPr>
      <w:r>
        <w:t xml:space="preserve">A handful of small API endpoints return fixed/sample data (e.g. a stats endpoint that always shows zeros). These are flagged in the detailed document.</w:t>
      </w:r>
    </w:p>
    <w:bookmarkEnd w:id="11"/>
    <w:bookmarkStart w:id="12" w:name="video-confirmation-coverage"/>
    <w:p>
      <w:pPr>
        <w:pStyle w:val="Heading2"/>
      </w:pPr>
      <w:r>
        <w:t xml:space="preserve">Video-confirmation coverage</w:t>
      </w:r>
    </w:p>
    <w:p>
      <w:pPr>
        <w:pStyle w:val="FirstParagraph"/>
      </w:pPr>
      <w:r>
        <w:rPr>
          <w:b/>
          <w:bCs/>
        </w:rPr>
        <w:t xml:space="preserve">1 / 470 ≈ 0.2%.</w:t>
      </w:r>
      <w:r>
        <w:t xml:space="preserve"> </w:t>
      </w:r>
      <w:r>
        <w:t xml:space="preserve">This is the headline number to improve: each future recording raises it.</w:t>
      </w:r>
    </w:p>
    <w:bookmarkEnd w:id="12"/>
    <w:bookmarkStart w:id="13" w:name="team-actions"/>
    <w:p>
      <w:pPr>
        <w:pStyle w:val="Heading2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t xml:space="preserve">No operator decision is currently blocked.</w:t>
      </w:r>
    </w:p>
    <w:p>
      <w:pPr>
        <w:pStyle w:val="Compact"/>
        <w:numPr>
          <w:ilvl w:val="0"/>
          <w:numId w:val="1003"/>
        </w:numPr>
      </w:pPr>
      <w:r>
        <w:t xml:space="preserve">Priority ask: produce real recordings for the next-most-important runtime features (web dashboard translation, gRPC translation, the other AI providers) to lift the video-confirmation coverage.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4" w:name="page-2-for-software-engineers"/>
    <w:p>
      <w:pPr>
        <w:pStyle w:val="Heading1"/>
      </w:pPr>
      <w:r>
        <w:t xml:space="preserve">Page 2 — For software engineers</w:t>
      </w:r>
    </w:p>
    <w:bookmarkStart w:id="15" w:name="source-method"/>
    <w:p>
      <w:pPr>
        <w:pStyle w:val="Heading2"/>
      </w:pPr>
      <w:r>
        <w:t xml:space="preserve">Source &amp; method</w:t>
      </w:r>
    </w:p>
    <w:p>
      <w:pPr>
        <w:pStyle w:val="FirstParagraph"/>
      </w:pPr>
      <w:r>
        <w:t xml:space="preserve">Derived 1:1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 1). Every detailed inventory row → one Status row. Statuses set per §11.4.6 from what the inventory actually found in source; no test files were attributed per-feature (recorded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, an honest unknown, never guessed).</w:t>
      </w:r>
    </w:p>
    <w:bookmarkEnd w:id="15"/>
    <w:bookmarkStart w:id="17" w:name="counts"/>
    <w:p>
      <w:pPr>
        <w:pStyle w:val="Heading2"/>
      </w:pPr>
      <w:r>
        <w:t xml:space="preserve">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total (dedup per-category tally)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detailed rows (this doc + Status.md)</w:t>
            </w:r>
          </w:p>
        </w:tc>
        <w:tc>
          <w:tcPr/>
          <w:p>
            <w:pPr>
              <w:pStyle w:val="Compact"/>
            </w:pPr>
            <w:r>
              <w:t xml:space="preserve">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PENDING</w:t>
            </w:r>
          </w:p>
        </w:tc>
        <w:tc>
          <w:tcPr/>
          <w:p>
            <w:pPr>
              <w:pStyle w:val="Compact"/>
            </w:pPr>
            <w:r>
              <w:t xml:space="preserve">runtime/user-visible, no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N/A</w:t>
            </w:r>
          </w:p>
        </w:tc>
        <w:tc>
          <w:tcPr/>
          <w:p>
            <w:pPr>
              <w:pStyle w:val="Compact"/>
            </w:pPr>
            <w:r>
              <w:t xml:space="preserve">flags / internal types / infra middleware</w:t>
            </w:r>
          </w:p>
        </w:tc>
      </w:tr>
    </w:tbl>
    <w:bookmarkStart w:id="16" w:name="per-category-inventory-headline"/>
    <w:p>
      <w:pPr>
        <w:pStyle w:val="Heading3"/>
      </w:pPr>
      <w:r>
        <w:t xml:space="preserve">Per-category (inventory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bookmarkEnd w:id="16"/>
    <w:bookmarkEnd w:id="17"/>
    <w:bookmarkStart w:id="18" w:name="X9a6c538e459541a3d7132deb4d9c7b24f4101d6"/>
    <w:p>
      <w:pPr>
        <w:pStyle w:val="Heading2"/>
      </w:pPr>
      <w:r>
        <w:t xml:space="preserve">Stub list (Implementation=Stub — returns mock, no real work)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/api/v1/translate/ebook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pkg/api/handler.go:1954</w:t>
      </w:r>
      <w:r>
        <w:t xml:space="preserve"> </w:t>
      </w:r>
      <w:r>
        <w:t xml:space="preserve">(emits start event, returns mock; does NOT translate).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/api/v1/preparation/analyze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pkg/api/handler.go:1832</w:t>
      </w:r>
      <w:r>
        <w:t xml:space="preserve"> </w:t>
      </w:r>
      <w:r>
        <w:t xml:space="preserve">(file stat/count + events; stub analysis, no LLM).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/api/v1/preparation/result/:session_id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pkg/api/handler.go:1927</w:t>
      </w:r>
      <w:r>
        <w:t xml:space="preserve"> </w:t>
      </w:r>
      <w:r>
        <w:t xml:space="preserve">(returns mock result).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/api/v1/translate-with-verification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pkg/api/verifier_handlers.go</w:t>
      </w:r>
      <w:r>
        <w:t xml:space="preserve"> </w:t>
      </w:r>
      <w:r>
        <w:t xml:space="preserve">(selects/verifies a model, returns metadata + preview; does NOT translate).</w:t>
      </w:r>
    </w:p>
    <w:bookmarkEnd w:id="18"/>
    <w:bookmarkStart w:id="19" w:name="partial-list"/>
    <w:p>
      <w:pPr>
        <w:pStyle w:val="Heading2"/>
      </w:pPr>
      <w:r>
        <w:t xml:space="preserve">Partial 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/api/batch</w:t>
      </w:r>
      <w:r>
        <w:t xml:space="preserve"> </w:t>
      </w:r>
      <w:r>
        <w:t xml:space="preserve">(standalone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) — returns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only, no translation executed.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OpenCV — stub by default; real CV only behind a build tag.</w:t>
      </w:r>
    </w:p>
    <w:bookmarkEnd w:id="19"/>
    <w:bookmarkStart w:id="20" w:name="X5b834d6dd8c292d53ffedee928992b053f4faaa"/>
    <w:p>
      <w:pPr>
        <w:pStyle w:val="Heading2"/>
      </w:pPr>
      <w:r>
        <w:t xml:space="preserve">Static / hardcoded-return endpoints (Implemented, but not live)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pkg/api/server.go</w:t>
      </w:r>
      <w:r>
        <w:t xml:space="preserve">) — hardcoded zeros.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pkg/api/handler.go</w:t>
      </w:r>
      <w:r>
        <w:t xml:space="preserve">) — 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/api/v1/metrics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cmd/api-server/main.go</w:t>
      </w:r>
      <w:r>
        <w:t xml:space="preserve">) — static/zero.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cmd/monitor-server/main.go</w:t>
      </w:r>
      <w:r>
        <w:t xml:space="preserve">) — 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/api/v1/providers</w:t>
      </w:r>
      <w:r>
        <w:t xml:space="preserve"> </w:t>
      </w:r>
      <w:r>
        <w:t xml:space="preserve">(gRPC</w:t>
      </w:r>
      <w:r>
        <w:t xml:space="preserve"> </w:t>
      </w:r>
      <w:r>
        <w:rPr>
          <w:rStyle w:val="VerbatimChar"/>
        </w:rPr>
        <w:t xml:space="preserve">GetProviders</w:t>
      </w:r>
      <w:r>
        <w:t xml:space="preserve">) — static ProviderRegistry (openai, anthropic, ssh).</w:t>
      </w:r>
    </w:p>
    <w:p>
      <w:pPr>
        <w:pStyle w:val="Compact"/>
        <w:numPr>
          <w:ilvl w:val="0"/>
          <w:numId w:val="1006"/>
        </w:numPr>
      </w:pPr>
      <w:r>
        <w:t xml:space="preserve">Static language/provider lists in several</w:t>
      </w:r>
      <w:r>
        <w:t xml:space="preserve"> </w:t>
      </w:r>
      <w:r>
        <w:rPr>
          <w:rStyle w:val="VerbatimChar"/>
        </w:rPr>
        <w:t xml:space="preserve">GET /api/.../languages</w:t>
      </w:r>
      <w:r>
        <w:t xml:space="preserve"> </w:t>
      </w:r>
      <w:r>
        <w:t xml:space="preserve">routes.</w:t>
      </w:r>
    </w:p>
    <w:bookmarkEnd w:id="20"/>
    <w:bookmarkStart w:id="21" w:name="top-gaps-engineering"/>
    <w:p>
      <w:pPr>
        <w:pStyle w:val="Heading2"/>
      </w:pPr>
      <w:r>
        <w:t xml:space="preserve">Top gaps (engineering)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Video-confirmation 1/470.</w:t>
      </w:r>
      <w:r>
        <w:t xml:space="preserve"> </w:t>
      </w:r>
      <w:r>
        <w:t xml:space="preserve">The single recorded proof is the</w:t>
      </w:r>
      <w:r>
        <w:t xml:space="preserve"> 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DeepSeek EN→Spanish run:</w:t>
      </w:r>
      <w:r>
        <w:t xml:space="preserve"> </w:t>
      </w:r>
      <w:r>
        <w:rPr>
          <w:rStyle w:val="VerbatimChar"/>
        </w:rPr>
        <w:t xml:space="preserve">/Volumes/T7/Downloads/Recordings/helixtranslate-cli-deepseek-translation-FIXED_20260615_163824.mp4</w:t>
      </w:r>
      <w:r>
        <w:t xml:space="preserve">. All other runtime features carry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Per §11.4.2/§11.4.107 nothing else may be marked video-confirmed without a real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Per-feature test attribution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everywhere). Repo has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suites; mapping suites → features is future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4 stubs + 2 partials</w:t>
      </w:r>
      <w:r>
        <w:t xml:space="preserve"> </w:t>
      </w:r>
      <w:r>
        <w:t xml:space="preserve">must either be implemented or reclassified per §11.4.90 before they can be claimed as working capabilities.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from the inventory: thin OpenAI-compatible providers’ base-URL/model specifics;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 (scoring/helixqa/cliagents/crush/opencode/scheduler/partners/bigdata/multimodal/performance);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evaluators;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.</w:t>
      </w:r>
    </w:p>
    <w:bookmarkEnd w:id="21"/>
    <w:bookmarkStart w:id="22" w:name="video-coverage-ratio"/>
    <w:p>
      <w:pPr>
        <w:pStyle w:val="Heading2"/>
      </w:pPr>
      <w:r>
        <w:t xml:space="preserve">Video-coverage ratio</w:t>
      </w:r>
    </w:p>
    <w:p>
      <w:pPr>
        <w:pStyle w:val="FirstParagraph"/>
      </w:pPr>
      <w:r>
        <w:rPr>
          <w:rStyle w:val="VerbatimChar"/>
        </w:rPr>
        <w:t xml:space="preserve">1 / 470</w:t>
      </w:r>
      <w:r>
        <w:t xml:space="preserve"> </w:t>
      </w:r>
      <w:r>
        <w:t xml:space="preserve">enumerated rows =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(≈ 0.24% against the 417 headline). This is the primary metric to drive upward; each anti-bluff §11.4.107 recording increments the numerator.</w:t>
      </w:r>
    </w:p>
    <w:bookmarkEnd w:id="22"/>
    <w:bookmarkStart w:id="23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8"/>
        </w:numPr>
      </w:pPr>
      <w:r>
        <w:t xml:space="preserve">Detail:</w:t>
      </w:r>
      <w:r>
        <w:t xml:space="preserve"> </w:t>
      </w:r>
      <w:r>
        <w:rPr>
          <w:rStyle w:val="VerbatimChar"/>
        </w:rPr>
        <w:t xml:space="preserve">docs/features/Status.md</w:t>
      </w:r>
    </w:p>
    <w:p>
      <w:pPr>
        <w:pStyle w:val="Compact"/>
        <w:numPr>
          <w:ilvl w:val="0"/>
          <w:numId w:val="1008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docs/features/.feature_inventory_raw.md</w:t>
      </w:r>
    </w:p>
    <w:p>
      <w:pPr>
        <w:pStyle w:val="Compact"/>
        <w:numPr>
          <w:ilvl w:val="0"/>
          <w:numId w:val="1008"/>
        </w:numPr>
      </w:pPr>
      <w:r>
        <w:t xml:space="preserve">Sync context:</w:t>
      </w:r>
      <w:r>
        <w:t xml:space="preserve"> </w:t>
      </w:r>
      <w:r>
        <w:rPr>
          <w:rStyle w:val="VerbatimChar"/>
        </w:rPr>
        <w:t xml:space="preserve">.docs_chain/contexts/features.yaml</w:t>
      </w:r>
      <w:r>
        <w:t xml:space="preserve"> </w:t>
      </w:r>
      <w:r>
        <w:t xml:space="preserve">(§11.4.106)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