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2026-06-15T20:10:00Z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478 individual capabilities</w:t>
      </w:r>
      <w:r>
        <w:t xml:space="preserve"> </w:t>
      </w:r>
      <w:r>
        <w:t xml:space="preserve">catalogued (470 from the source inventory + 2 output rows [DOCX + PDF output, both now built] + 6 new rows this round [the agent bridge CLI+MCP, the bridge library, the model-verification fix, the web-dashboard backend];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21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and the live monitoring dashboard.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the produced file itself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newly built this round</w:t>
      </w:r>
      <w:r>
        <w:t xml:space="preserve"> </w:t>
      </w:r>
      <w:r>
        <w:t xml:space="preserve">and proven by passing tests (it renders the translated book to a real, valid PDF that keeps Serbian Cyrillic readable). Screen recordings of both are still owed, so they count as file/test-proven rather than video-proven for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(built, tested, working at the code level — recordings owed):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agent bridge</w:t>
      </w:r>
      <w:r>
        <w:t xml:space="preserve"> </w:t>
      </w:r>
      <w:r>
        <w:t xml:space="preserve">that picks the best AI model from our model-verifier and lets other tools/agents use it (via a command-line tool and an MCP server) — a real run picked</w:t>
      </w:r>
      <w:r>
        <w:t xml:space="preserve"> </w:t>
      </w:r>
      <w:r>
        <w:rPr>
          <w:rStyle w:val="VerbatimChar"/>
        </w:rPr>
        <w:t xml:space="preserve">groq/allam-2-7b</w:t>
      </w:r>
      <w:r>
        <w:t xml:space="preserve"> </w:t>
      </w:r>
      <w:r>
        <w:t xml:space="preserve">and translated correctly;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21 of 478</w:t>
      </w:r>
      <w:r>
        <w:t xml:space="preserve"> </w:t>
      </w:r>
      <w:r>
        <w:t xml:space="preserve">features have a recorded, watch-it-yourself demonstration (≈ 4.4%).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remote-worker tools are blocked on infrastructure:</w:t>
      </w:r>
      <w:r>
        <w:t xml:space="preserve"> </w:t>
      </w:r>
      <w:r>
        <w:t xml:space="preserve">the SSH-based translators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) need a remote helper machine running a local AI engine, which we don’t have available. They build and start, then stop at the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documented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tool’s</w:t>
      </w:r>
      <w:r>
        <w:rPr>
          <w:b/>
          <w:bCs/>
        </w:rPr>
        <w:t xml:space="preserve"> </w:t>
      </w:r>
      <w:r>
        <w:rPr>
          <w:b/>
          <w:bCs/>
        </w:rPr>
        <w:t xml:space="preserve">“translate on this 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mode is a placeholder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mode is blocked on the same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21 / 478 ≈ 4.4%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 decision owed for 2 blocked tools:</w:t>
      </w:r>
      <w:r>
        <w:t xml:space="preserve"> </w:t>
      </w:r>
      <w:r>
        <w:t xml:space="preserve">to confirm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provide a remote SSH host running the local AI engine (llama.cpp). Until then they stay marked OPERATOR-BLOCKED.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478 (470 inventory + 2 output rows [DOCX-write Implemented Rev 3, PDF-write Implemented Rev 4] + 6 new Rev 4 rows: cmd/model-bridge ×2, pkg/bridge ×2, internal/verifier 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local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21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— LOCAL path is a STUB (</w:t>
      </w:r>
      <w:r>
        <w:t xml:space="preserve">“local translation not yet implemented”</w:t>
      </w:r>
      <w:r>
        <w:t xml:space="preserve">); REMOTE path OPERATOR-BLOCKED (no SSH/llama.cpp worker host).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</w:t>
      </w:r>
      <w:r>
        <w:t xml:space="preserve"> </w:t>
      </w:r>
      <w:r>
        <w:rPr>
          <w:rStyle w:val="VerbatimChar"/>
        </w:rPr>
        <w:t xml:space="preserve">groq/allam-2-7b</w:t>
      </w:r>
      <w:r>
        <w:t xml:space="preserve"> </w:t>
      </w:r>
      <w:r>
        <w:t xml:space="preserve">score 0.906,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 Video PENDING (terminal-surface asciinema→mp4 recording owed).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default RED reproduces pre-fix defect,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GREEN guard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 </w:t>
      </w:r>
      <w:r>
        <w:t xml:space="preserve">— SSH worker FB2→EPUB; needs remote SSH host + llama.cpp.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FB2 remote-translate workflow; same remote SSH/llama.cpp requirement.</w:t>
      </w:r>
    </w:p>
    <w:p>
      <w:pPr>
        <w:pStyle w:val="BlockText"/>
      </w:pPr>
      <w:r>
        <w:t xml:space="preserve">Evidence (builds + runs to the blocked point):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.</w:t>
      </w:r>
    </w:p>
    <w:bookmarkEnd w:id="22"/>
    <w:bookmarkStart w:id="23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(openai, anthropic, ssh).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3"/>
    <w:bookmarkStart w:id="24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21/478</w:t>
      </w:r>
      <w:r>
        <w:t xml:space="preserve"> </w:t>
      </w:r>
      <w:r>
        <w:t xml:space="preserve">(+ 2 real-artifact/test-confirmed: DOCX + PDF output). 21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 is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ffprobe 888x630/93fr/9.3s;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The Rev-4 additions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(bridge CLI+MCP, PDF),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(web dashboard — needs HelixQA web/video backend)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(internal verifier gate). Per §11.4.2/§11.4.107 nothing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binaries OPERATOR-BLOCKED + 1 local STUB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need a remote SSH/llama.cpp host;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4"/>
    <w:bookmarkStart w:id="25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21 / 478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4.4%</w:t>
      </w:r>
      <w:r>
        <w:t xml:space="preserve"> </w:t>
      </w:r>
      <w:r>
        <w:t xml:space="preserve">(≈ 5.0% against the 417 headline). Plus 2 real-artifact/test-confirmed (DOCX + PDF output, video PENDING). This is the primary metric to drive upward; each anti-bluff §11.4.107 recording increments the numerator.</w:t>
      </w:r>
    </w:p>
    <w:bookmarkEnd w:id="25"/>
    <w:bookmarkStart w:id="2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