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2026-06-15T17:30:00Z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20 feature rows are video-confirmed</w:t>
      </w:r>
      <w:r>
        <w:t xml:space="preserve"> </w:t>
      </w:r>
      <w:r>
        <w:t xml:space="preserve">this session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and the DeepSeek library client.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t xml:space="preserve">DOCX output + PDF output are unimplemented (no writer in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; unified-translator rejects them);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is the CLI’s own per-step check, NOT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multipass engine (that engine has no CLI entry point wired in);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 (</w:t>
      </w:r>
      <w:r>
        <w:t xml:space="preserve">“local translation not yet implemented”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 OPERATOR-BLOCKED (need a remote SSH/llama.cpp worker host);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472</w:t>
            </w:r>
            <w:r>
              <w:t xml:space="preserve"> </w:t>
            </w:r>
            <w:r>
              <w:t xml:space="preserve">(470 source-inventory rows + 2 honest gap rows added Rev 2: DOCX-write, PDF-write — both unimplemented)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DOCX-write, PDF-write — no writer exists; output limited to EPUB/FB2/TXT/HTML/MD)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— local path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— need remote SSH/llama.cpp worker host)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  <w:r>
              <w:t xml:space="preserve"> </w:t>
            </w:r>
            <w:r>
              <w:t xml:space="preserve">(real, content-verified recordings this session — see Anti-bluff note) — ≈ 4.3% of 470 enumerated rows (≈ 4.8%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0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Minor cosmetic note: source file path leaks into title metadata (non-blocking)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FB2 remote-translate workflow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syncs binary, runs remote FB2→MD→translate→EPUB, downloads + verifies outputs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+ remote llama.cpp; none available. Binary builds + prints usage in blocked-binaries demo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Positional args (no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&lt;source_fb2&gt; &lt;target_lang&gt; &lt;remote_host&gt; &lt;remote_user&gt; &lt;remote_password&gt;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Output verification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Verifies MD/EPUB exist, non-degenerate, target-language (Cyrillic)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SSH translation system (fixed-config)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Hardcoded Russian→Serbian-Cyrillic workflow over SSH worker w/ llama.cpp; WebSocket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(no CLI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All config hardcoded in</w:t>
            </w:r>
            <w:r>
              <w:t xml:space="preserve"> </w:t>
            </w:r>
            <w:r>
              <w:rPr>
                <w:rStyle w:val="VerbatimChar"/>
              </w:rPr>
              <w:t xml:space="preserve">SystemConfig</w:t>
            </w:r>
            <w:r>
              <w:t xml:space="preserve"> </w:t>
            </w:r>
            <w:r>
              <w:t xml:space="preserve">(host, creds, langs, llama providers)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4"/>
    <w:bookmarkStart w:id="25" w:name="cmdtranslate-ssh"/>
    <w:p>
      <w:pPr>
        <w:pStyle w:val="Heading2"/>
      </w:pPr>
      <w:r>
        <w:t xml:space="preserve">cmd/translate-ssh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t xml:space="preserve">SSH worker 4-step FB2→EPUB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FB2→MD → translate (remote llama.cpp) → MD→EPUB; standalone worker invoked by coordinator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running llama.cpp; none available. Binary builds + runs as far as possible (blocked-binaries demo)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Report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5"/>
    <w:bookmarkStart w:id="26" w:name="cmdtranslator"/>
    <w:p>
      <w:pPr>
        <w:pStyle w:val="Heading2"/>
      </w:pPr>
      <w:r>
        <w:t xml:space="preserve">cmd/translator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t xml:space="preserve">Documented FB2 local/remote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(local path is STUB; remote needs SSH worker)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SSH/llama.cpp path produces a documentation report; LOCAL path is a STUB — emits</w:t>
            </w:r>
            <w:r>
              <w:t xml:space="preserve"> </w:t>
            </w:r>
            <w:r>
              <w:t xml:space="preserve">“local translation not yet implemented”</w:t>
            </w:r>
            <w:r>
              <w:t xml:space="preserve"> </w:t>
            </w:r>
            <w:r>
              <w:t xml:space="preserve">(captured). Remote path is OPERATOR-BLOCKED (no SSH worker host)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local STUB captured; remote OPERATOR-BLOCKED</w:t>
            </w:r>
          </w:p>
        </w:tc>
        <w:tc>
          <w:tcPr/>
          <w:p>
            <w:pPr>
              <w:pStyle w:val="Compact"/>
            </w:pPr>
            <w:r>
              <w:t xml:space="preserve">PENDING/OPERATOR-BLOCKED;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(remote mode)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translated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3" w:name="library-packages-pkg"/>
    <w:p>
      <w:pPr>
        <w:pStyle w:val="Heading1"/>
      </w:pPr>
      <w:r>
        <w:t xml:space="preserve">2. Library Packages — pkg/</w:t>
      </w:r>
    </w:p>
    <w:bookmarkStart w:id="31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Groq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Cohere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command-r via OpenAI-compat endpoint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Mistral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</w:t>
            </w:r>
          </w:p>
        </w:tc>
        <w:tc>
          <w:tcPr/>
          <w:p>
            <w:pPr>
              <w:pStyle w:val="Compact"/>
            </w:pPr>
            <w:r>
              <w:t xml:space="preserve">xAI (Grok)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Replicate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Async prediction-polling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Cerebras</w:t>
            </w:r>
          </w:p>
        </w:tc>
        <w:tc>
          <w:tcPr/>
          <w:p>
            <w:pPr>
              <w:pStyle w:val="Compact"/>
            </w:pPr>
            <w:r>
              <w:t xml:space="preserve">Cerebras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(base-URL/model 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Cloudflare Workers 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/client/v4 Workers AI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SiliconFlow</w:t>
            </w:r>
          </w:p>
        </w:tc>
        <w:tc>
          <w:tcPr/>
          <w:p>
            <w:pPr>
              <w:pStyle w:val="Compact"/>
            </w:pPr>
            <w:r>
              <w:t xml:space="preserve">SiliconFlow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Hyperbolic</w:t>
            </w:r>
          </w:p>
        </w:tc>
        <w:tc>
          <w:tcPr/>
          <w:p>
            <w:pPr>
              <w:pStyle w:val="Compact"/>
            </w:pPr>
            <w:r>
              <w:t xml:space="preserve">Hyperbolic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TogetherAI</w:t>
            </w:r>
          </w:p>
        </w:tc>
        <w:tc>
          <w:tcPr/>
          <w:p>
            <w:pPr>
              <w:pStyle w:val="Compact"/>
            </w:pPr>
            <w:r>
              <w:t xml:space="preserve">TogetherAI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SambaNova</w:t>
            </w:r>
          </w:p>
        </w:tc>
        <w:tc>
          <w:tcPr/>
          <w:p>
            <w:pPr>
              <w:pStyle w:val="Compact"/>
            </w:pPr>
            <w:r>
              <w:t xml:space="preserve">SambaNova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t xml:space="preserve">Kimi (Moonshot)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Novita</w:t>
            </w:r>
          </w:p>
        </w:tc>
        <w:tc>
          <w:tcPr/>
          <w:p>
            <w:pPr>
              <w:pStyle w:val="Compact"/>
            </w:pPr>
            <w:r>
              <w:t xml:space="preserve">Novita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/v3/openai-compatible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NLPCloud</w:t>
            </w:r>
          </w:p>
        </w:tc>
        <w:tc>
          <w:tcPr/>
          <w:p>
            <w:pPr>
              <w:pStyle w:val="Compact"/>
            </w:pPr>
            <w:r>
              <w:t xml:space="preserve">NLPCloud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Upstage</w:t>
            </w:r>
          </w:p>
        </w:tc>
        <w:tc>
          <w:tcPr/>
          <w:p>
            <w:pPr>
              <w:pStyle w:val="Compact"/>
            </w:pPr>
            <w:r>
              <w:t xml:space="preserve">Upstage (Solar)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Sarvam</w:t>
            </w:r>
          </w:p>
        </w:tc>
        <w:tc>
          <w:tcPr/>
          <w:p>
            <w:pPr>
              <w:pStyle w:val="Compact"/>
            </w:pPr>
            <w:r>
              <w:t xml:space="preserve">Sarvam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</w:t>
            </w:r>
          </w:p>
        </w:tc>
        <w:tc>
          <w:tcPr/>
          <w:p>
            <w:pPr>
              <w:pStyle w:val="Compact"/>
            </w:pPr>
            <w:r>
              <w:t xml:space="preserve">Modal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PublicAI</w:t>
            </w:r>
          </w:p>
        </w:tc>
        <w:tc>
          <w:tcPr/>
          <w:p>
            <w:pPr>
              <w:pStyle w:val="Compact"/>
            </w:pPr>
            <w:r>
              <w:t xml:space="preserve">PublicAI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NIA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Vulavula</w:t>
            </w:r>
          </w:p>
        </w:tc>
        <w:tc>
          <w:tcPr/>
          <w:p>
            <w:pPr>
              <w:pStyle w:val="Compact"/>
            </w:pPr>
            <w:r>
              <w:t xml:space="preserve">Vulavula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1"/>
    <w:bookmarkStart w:id="32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2"/>
    <w:bookmarkStart w:id="33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Unwired</w:t>
            </w:r>
          </w:p>
        </w:tc>
        <w:tc>
          <w:tcPr/>
          <w:p>
            <w:pPr>
              <w:pStyle w:val="Compact"/>
            </w:pPr>
            <w:r>
              <w:t xml:space="preserve">GAP (§11.4.6): no DOCX writer exists in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; DOCX is parse-only. unified-translator rejects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.docx. Output formats are limited to EPUB/FB2/TXT/HTML/MD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unimplemented (no writer)</w:t>
            </w:r>
          </w:p>
        </w:tc>
        <w:tc>
          <w:tcPr/>
          <w:p>
            <w:pPr>
              <w:pStyle w:val="Compact"/>
            </w:pPr>
            <w:r>
              <w:t xml:space="preserve">N/A (no feature to record)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Unwired</w:t>
            </w:r>
          </w:p>
        </w:tc>
        <w:tc>
          <w:tcPr/>
          <w:p>
            <w:pPr>
              <w:pStyle w:val="Compact"/>
            </w:pPr>
            <w:r>
              <w:t xml:space="preserve">GAP (§11.4.6): no PDF writer exists in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; PDF is extract-only. unified-translator rejects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.pdf. Output formats are limited to EPUB/FB2/TXT/HTML/MD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unimplemented (no writer)</w:t>
            </w:r>
          </w:p>
        </w:tc>
        <w:tc>
          <w:tcPr/>
          <w:p>
            <w:pPr>
              <w:pStyle w:val="Compact"/>
            </w:pPr>
            <w:r>
              <w:t xml:space="preserve">N/A (no feature to record)</w:t>
            </w:r>
          </w:p>
        </w:tc>
      </w:tr>
    </w:tbl>
    <w:bookmarkEnd w:id="33"/>
    <w:bookmarkStart w:id="34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4"/>
    <w:bookmarkStart w:id="35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6"/>
    <w:bookmarkStart w:id="37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7"/>
    <w:bookmarkStart w:id="38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Unwired into unified-translator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GAP (§11.4.6): this engine is NOT what the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flag invokes —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runs the CLI’s own per-step output check (row above), not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engine. The multipass engine has no CLI entry point wired 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(library present);</w:t>
            </w:r>
            <w:r>
              <w:t xml:space="preserve"> </w:t>
            </w:r>
            <w:r>
              <w:rPr>
                <w:b/>
                <w:bCs/>
              </w:rPr>
              <w:t xml:space="preserve">GAP — not wired into CLI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2"/>
    <w:bookmarkStart w:id="43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3"/>
    <w:bookmarkStart w:id="44" w:name="pkgsshworker"/>
    <w:p>
      <w:pPr>
        <w:pStyle w:val="Heading2"/>
      </w:pPr>
      <w:r>
        <w:t xml:space="preserve">pkg/sshworker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SSH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exec, file up/download, codebase sync, key generation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Monitored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Event-monitored progress tracking for long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5"/>
    <w:bookmarkStart w:id="46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6"/>
    <w:bookmarkStart w:id="47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7"/>
    <w:bookmarkStart w:id="48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8"/>
    <w:bookmarkStart w:id="49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pkgmodels-modelsbridge"/>
    <w:p>
      <w:pPr>
        <w:pStyle w:val="Heading2"/>
      </w:pPr>
      <w:r>
        <w:t xml:space="preserve">pkg/models &amp; modelsbridge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Translation-model metadata registry (50+ models)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downloader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model download w/ caching + sha256 verification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User domain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User struct, bcrypt hashing, in-memory repo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Error definitions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Domain error constants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Verifier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LLMsVerifier-backed registry w/ thresholds &amp;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modelsbridge</w:t>
            </w:r>
          </w:p>
        </w:tc>
        <w:tc>
          <w:tcPr/>
          <w:p>
            <w:pPr>
              <w:pStyle w:val="Compact"/>
            </w:pPr>
            <w:r>
              <w:t xml:space="preserve">Models bridge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Adapter mapping models.LLMRequest/Response → llm.LLMClient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1"/>
    <w:bookmarkStart w:id="52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63" w:name="web-dashboards-endpoints"/>
    <w:p>
      <w:pPr>
        <w:pStyle w:val="Heading1"/>
      </w:pPr>
      <w:r>
        <w:t xml:space="preserve">3. Web Dashboards &amp; Endpoints</w:t>
      </w:r>
    </w:p>
    <w:bookmarkStart w:id="54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4"/>
    <w:bookmarkStart w:id="55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5"/>
    <w:bookmarkStart w:id="56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6"/>
    <w:bookmarkStart w:id="57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8"/>
    <w:bookmarkStart w:id="59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74" w:name="owned-submodules"/>
    <w:p>
      <w:pPr>
        <w:pStyle w:val="Heading1"/>
      </w:pPr>
      <w:r>
        <w:t xml:space="preserve">4. Owned Submodules</w:t>
      </w:r>
    </w:p>
    <w:bookmarkStart w:id="64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4"/>
    <w:bookmarkStart w:id="65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5"/>
    <w:bookmarkStart w:id="66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6"/>
    <w:bookmarkStart w:id="67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7"/>
    <w:bookmarkStart w:id="68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8"/>
    <w:bookmarkStart w:id="69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9"/>
    <w:bookmarkStart w:id="70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20 feature rows.</w:t>
      </w:r>
      <w:r>
        <w:t xml:space="preserve"> </w:t>
      </w:r>
      <w:r>
        <w:t xml:space="preserve">20 features are confirmed by real, ffprobe- and content-verified recordings this session (see the Anti-bluff note for the full list).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+ PDF output are unimplemented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has FB2-write and EPUB-write only; DOCX and PDF are parse/extract-only. unified-translator rejects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as output. Output formats are EPUB/FB2/TXT/HTML/MD.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 multipass engine.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check, NOT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(which has no CLI entry point wired in).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local path is a STUB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path is OPERATOR-BLOCKED (no SSH/llama.cpp worker host).</w:t>
      </w:r>
      <w:r>
        <w:t xml:space="preserve"> </w:t>
      </w:r>
      <w:r>
        <w:t xml:space="preserve">1d.</w:t>
      </w:r>
      <w:r>
        <w:t xml:space="preserve"> </w:t>
      </w:r>
      <w:r>
        <w:rPr>
          <w:rStyle w:val="VerbatimChar"/>
          <w:b/>
          <w:bCs/>
        </w:rPr>
        <w:t xml:space="preserve">translate-ssh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OPERATOR-BLOCKED</w:t>
      </w:r>
      <w:r>
        <w:t xml:space="preserve"> </w:t>
      </w:r>
      <w:r>
        <w:t xml:space="preserve">— both require a remote SSH worker host running llama.cpp; none available. Binaries build and run as far as possible (blocked-binaries demo recorded).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cosmetic note:</w:t>
      </w:r>
      <w:r>
        <w:t xml:space="preserve"> </w:t>
      </w:r>
      <w:r>
        <w:t xml:space="preserve">the source file path leaks into the output title metadata (non-blocking, real translation otherwise correct).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