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9b85db72a5081839bde58aa03004bdba79bf54"/>
    <w:p>
      <w:pPr>
        <w:pStyle w:val="Heading1"/>
      </w:pPr>
      <w:r>
        <w:rPr>
          <w:lang w:val="en"/>
        </w:rPr>
        <w:t xml:space="preserve">HelixSkills incorporation — architecture &amp; diagrams (HXC-159 T-P8.03)</w:t>
      </w:r>
    </w:p>
    <w:p>
      <w:pPr>
        <w:pStyle w:val="FirstParagraph"/>
      </w:pPr>
      <w:r>
        <w:rPr>
          <w:b/>
          <w:bCs/>
          <w:lang w:val="en"/>
        </w:rPr>
        <w:t xml:space="preserve">Revision</w:t>
      </w:r>
      <w:r>
        <w:rPr>
          <w:lang w:val="en"/>
        </w:rPr>
        <w:t xml:space="preserve">: 1 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Last modified</w:t>
      </w:r>
      <w:r>
        <w:rPr>
          <w:lang w:val="en"/>
        </w:rPr>
        <w:t xml:space="preserve">: 2026-09-23 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Status</w:t>
      </w:r>
      <w:r>
        <w:rPr>
          <w:lang w:val="en"/>
        </w:rPr>
        <w:t xml:space="preserve">: current</w:t>
      </w:r>
    </w:p>
    <w:p>
      <w:pPr>
        <w:pStyle w:val="BodyText"/>
      </w:pPr>
      <w:r>
        <w:rPr>
          <w:lang w:val="en"/>
        </w:rPr>
        <w:t xml:space="preserve">Four diagrams covering the skills system this project incorporates (HXC-159</w:t>
      </w:r>
      <w:r>
        <w:rPr>
          <w:lang w:val="en"/>
        </w:rPr>
        <w:t xml:space="preserve"> </w:t>
      </w:r>
      <w:r>
        <w:rPr>
          <w:lang w:val="en"/>
        </w:rPr>
        <w:t xml:space="preserve">Phases P0–P9). A fifth diagram — the corrected Bridge layer-health map — lives</w:t>
      </w:r>
      <w:r>
        <w:rPr>
          <w:lang w:val="en"/>
        </w:rPr>
        <w:t xml:space="preserve"> </w:t>
      </w:r>
      <w:r>
        <w:rPr>
          <w:lang w:val="en"/>
        </w:rPr>
        <w:t xml:space="preserve">embedded in the Bridge design corpus itself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hyperlink r:id="rId9">
        <w:r>
          <w:rPr>
            <w:rStyle w:val="VerbatimChar"/>
            <w:lang w:val="en"/>
          </w:rPr>
          <w:t xml:space="preserve">constitution/docs/research/extensions/speckit_superpowers/implementation/README.md</w:t>
        </w:r>
      </w:hyperlink>
      <w:r>
        <w:rPr>
          <w:lang w:val="en"/>
        </w:rPr>
        <w:t xml:space="preserve">)</w:t>
      </w:r>
      <w:r>
        <w:rPr>
          <w:lang w:val="en"/>
        </w:rPr>
        <w:t xml:space="preserve"> </w:t>
      </w:r>
      <w:r>
        <w:rPr>
          <w:lang w:val="en"/>
        </w:rPr>
        <w:t xml:space="preserve">rather than duplicated here, since that is where a reader of the Bridge</w:t>
      </w:r>
      <w:r>
        <w:rPr>
          <w:lang w:val="en"/>
        </w:rPr>
        <w:t xml:space="preserve"> </w:t>
      </w:r>
      <w:r>
        <w:rPr>
          <w:lang w:val="en"/>
        </w:rPr>
        <w:t xml:space="preserve">corpus needs it (§11.4.258 — diagrams belong at their point of use, not in</w:t>
      </w:r>
      <w:r>
        <w:rPr>
          <w:lang w:val="en"/>
        </w:rPr>
        <w:t xml:space="preserve"> </w:t>
      </w:r>
      <w:r>
        <w:rPr>
          <w:lang w:val="en"/>
        </w:rPr>
        <w:t xml:space="preserve">an orphan gallery).</w:t>
      </w:r>
    </w:p>
    <w:p>
      <w:pPr>
        <w:pStyle w:val="BodyText"/>
      </w:pPr>
      <w:r>
        <w:rPr>
          <w:lang w:val="en"/>
        </w:rPr>
        <w:t xml:space="preserve">See also:</w:t>
      </w:r>
      <w:r>
        <w:rPr>
          <w:lang w:val="en"/>
        </w:rPr>
        <w:t xml:space="preserve"> </w:t>
      </w:r>
      <w:hyperlink r:id="rId10">
        <w:r>
          <w:rPr>
            <w:rStyle w:val="VerbatimChar"/>
            <w:lang w:val="en"/>
          </w:rPr>
          <w:t xml:space="preserve">docs/CAPABILITIES.md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(§4/§10.5),</w:t>
      </w:r>
      <w:r>
        <w:rPr>
          <w:lang w:val="en"/>
        </w:rPr>
        <w:t xml:space="preserve"> </w:t>
      </w:r>
      <w:hyperlink r:id="rId11">
        <w:r>
          <w:rPr>
            <w:rStyle w:val="VerbatimChar"/>
            <w:lang w:val="en"/>
          </w:rPr>
          <w:t xml:space="preserve">docs/guides/skills_user_manual.md</w:t>
        </w:r>
      </w:hyperlink>
      <w:r>
        <w:rPr>
          <w:lang w:val="en"/>
        </w:rPr>
        <w:t xml:space="preserve">,</w:t>
      </w:r>
      <w:r>
        <w:rPr>
          <w:lang w:val="en"/>
        </w:rPr>
        <w:t xml:space="preserve"> </w:t>
      </w:r>
      <w:hyperlink r:id="rId12">
        <w:r>
          <w:rPr>
            <w:rStyle w:val="VerbatimChar"/>
            <w:lang w:val="en"/>
          </w:rPr>
          <w:t xml:space="preserve">docs/guides/skills_faq.md</w:t>
        </w:r>
      </w:hyperlink>
      <w:r>
        <w:rPr>
          <w:lang w:val="en"/>
        </w:rPr>
        <w:t xml:space="preserve">,</w:t>
      </w:r>
      <w:r>
        <w:rPr>
          <w:lang w:val="en"/>
        </w:rPr>
        <w:t xml:space="preserve"> </w:t>
      </w:r>
      <w:hyperlink r:id="rId13">
        <w:r>
          <w:rPr>
            <w:rStyle w:val="VerbatimChar"/>
            <w:lang w:val="en"/>
          </w:rPr>
          <w:t xml:space="preserve">submodules/helix_agent/docs/skills/SKILLS_SYSTEM.md</w:t>
        </w:r>
      </w:hyperlink>
      <w:r>
        <w:rPr>
          <w:lang w:val="en"/>
        </w:rPr>
        <w:t xml:space="preserve">.</w:t>
      </w:r>
    </w:p>
    <w:bookmarkStart w:id="17" w:name="Xa917270bcad2bbea9d796e2a0a403add0174af4"/>
    <w:p>
      <w:pPr>
        <w:pStyle w:val="Heading2"/>
      </w:pPr>
      <w:r>
        <w:rPr>
          <w:lang w:val="en"/>
        </w:rPr>
        <w:t xml:space="preserve">1. Three-layer architecture — source / graph service / generated catalogue</w:t>
      </w:r>
    </w:p>
    <w:p>
      <w:pPr>
        <w:pStyle w:val="FirstParagraph"/>
      </w:pPr>
      <w:r>
        <w:rPr>
          <w:lang w:val="en"/>
        </w:rPr>
        <w:t xml:space="preserve">This is the skills system's own internal architecture, as implemented in the</w:t>
      </w:r>
      <w:r>
        <w:rPr>
          <w:lang w:val="en"/>
        </w:rPr>
        <w:t xml:space="preserve"> </w:t>
      </w:r>
      <w:r>
        <w:rPr>
          <w:lang w:val="en"/>
        </w:rPr>
        <w:t xml:space="preserve">shared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submodules/skills</w:t>
      </w:r>
      <w:r>
        <w:rPr>
          <w:lang w:val="en"/>
        </w:rPr>
        <w:t xml:space="preserve"> </w:t>
      </w:r>
      <w:r>
        <w:rPr>
          <w:lang w:val="en"/>
        </w:rPr>
        <w:t xml:space="preserve">library (</w:t>
      </w:r>
      <w:r>
        <w:rPr>
          <w:rStyle w:val="VerbatimChar"/>
          <w:lang w:val="en"/>
        </w:rPr>
        <w:t xml:space="preserve">internal/skillsource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internal/codegraph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internal/skillscatalog</w:t>
      </w:r>
      <w:r>
        <w:rPr>
          <w:lang w:val="en"/>
        </w:rPr>
        <w:t xml:space="preserve">). Skill content flows from raw</w:t>
      </w:r>
      <w:r>
        <w:rPr>
          <w:lang w:val="en"/>
        </w:rPr>
        <w:t xml:space="preserve"> </w:t>
      </w:r>
      <w:r>
        <w:rPr>
          <w:lang w:val="en"/>
        </w:rPr>
        <w:t xml:space="preserve">sources (filesystem or GitHub), through a parse-and-map pipeline into a</w:t>
      </w:r>
      <w:r>
        <w:rPr>
          <w:lang w:val="en"/>
        </w:rPr>
        <w:t xml:space="preserve"> </w:t>
      </w:r>
      <w:r>
        <w:rPr>
          <w:lang w:val="en"/>
        </w:rPr>
        <w:t xml:space="preserve">persistent dependency graph enriched with CodeGraph-sourced evidence, and out</w:t>
      </w:r>
      <w:r>
        <w:rPr>
          <w:lang w:val="en"/>
        </w:rPr>
        <w:t xml:space="preserve"> </w:t>
      </w:r>
      <w:r>
        <w:rPr>
          <w:lang w:val="en"/>
        </w:rPr>
        <w:t xml:space="preserve">to a deterministic, byte-stable generated Markdown catalogue with a drift-proof</w:t>
      </w:r>
      <w:r>
        <w:rPr>
          <w:lang w:val="en"/>
        </w:rPr>
        <w:t xml:space="preserve"> </w:t>
      </w:r>
      <w:r>
        <w:rPr>
          <w:lang w:val="en"/>
        </w:rPr>
        <w:t xml:space="preserve">fingerprint sidecar.</w:t>
      </w:r>
    </w:p>
    <w:p>
      <w:pPr>
        <w:pStyle w:val="BodyText"/>
      </w:pPr>
      <w:r>
        <w:drawing>
          <wp:inline>
            <wp:extent cx="5334000" cy="7965815"/>
            <wp:effectExtent b="0" l="0" r="0" t="0"/>
            <wp:docPr descr="Mermaid diagram 1" title="" id="15" name="Picture"/>
            <a:graphic>
              <a:graphicData uri="http://schemas.openxmlformats.org/drawingml/2006/picture">
                <pic:pic>
                  <pic:nvPicPr>
                    <pic:cNvPr descr="/tmp/export_docx.XCc7KF/helix_code_docs_architecture_skills_architecture.md/block_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6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n"/>
        </w:rPr>
        <w:t xml:space="preserve">Sources: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submodules/skills/internal/skillsource/sync.go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Orchestrator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SyncSource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runPipeline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fetchSource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parseContent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mapSkills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submodules/skills/internal/skill/store.go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Store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AddDependency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GetDependents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submodules/skills/internal/codegraph/index.go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IndexManager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SymbolsToEvidence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submodules/skills/internal/skillscatalog/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doc.go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generate.go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fingerprint.go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computeRosterFingerprint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writeFingerprintSidecar</w:t>
      </w:r>
      <w:r>
        <w:rPr>
          <w:lang w:val="en"/>
        </w:rPr>
        <w:t xml:space="preserve">).</w:t>
      </w:r>
    </w:p>
    <w:bookmarkEnd w:id="17"/>
    <w:bookmarkStart w:id="21" w:name="Xeca78abdc628cf2b40bd4d41371647658fa5044"/>
    <w:p>
      <w:pPr>
        <w:pStyle w:val="Heading2"/>
      </w:pPr>
      <w:r>
        <w:rPr>
          <w:lang w:val="en"/>
        </w:rPr>
        <w:t xml:space="preserve">2. Registration-path sequence — constitution → registrar →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.claude/skills/</w:t>
      </w:r>
      <w:r>
        <w:rPr>
          <w:lang w:val="en"/>
        </w:rPr>
        <w:t xml:space="preserve"> </w:t>
      </w:r>
      <w:r>
        <w:rPr>
          <w:lang w:val="en"/>
        </w:rPr>
        <w:t xml:space="preserve">→ consumer</w:t>
      </w:r>
    </w:p>
    <w:p>
      <w:pPr>
        <w:pStyle w:val="FirstParagraph"/>
      </w:pPr>
      <w:r>
        <w:rPr>
          <w:lang w:val="en"/>
        </w:rPr>
        <w:t xml:space="preserve">How a constitution-owned governance skill actually gets from source to being</w:t>
      </w:r>
      <w:r>
        <w:rPr>
          <w:lang w:val="en"/>
        </w:rPr>
        <w:t xml:space="preserve"> </w:t>
      </w:r>
      <w:r>
        <w:rPr>
          <w:lang w:val="en"/>
        </w:rPr>
        <w:t xml:space="preserve">usable by an agent, for both HelixCode (external discovery tier) and</w:t>
      </w:r>
      <w:r>
        <w:rPr>
          <w:lang w:val="en"/>
        </w:rPr>
        <w:t xml:space="preserve"> </w:t>
      </w:r>
      <w:r>
        <w:rPr>
          <w:lang w:val="en"/>
        </w:rPr>
        <w:t xml:space="preserve">HelixAgent (external tool source).</w:t>
      </w:r>
    </w:p>
    <w:p>
      <w:pPr>
        <w:pStyle w:val="BodyText"/>
      </w:pPr>
      <w:r>
        <w:drawing>
          <wp:inline>
            <wp:extent cx="5334000" cy="2217964"/>
            <wp:effectExtent b="0" l="0" r="0" t="0"/>
            <wp:docPr descr="Mermaid diagram 2" title="" id="19" name="Picture"/>
            <a:graphic>
              <a:graphicData uri="http://schemas.openxmlformats.org/drawingml/2006/picture">
                <pic:pic>
                  <pic:nvPicPr>
                    <pic:cNvPr descr="/tmp/export_docx.XCc7KF/helix_code_docs_architecture_skills_architecture.md/block_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n"/>
        </w:rPr>
        <w:t xml:space="preserve">Sources: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scripts/register_skills.sh</w:t>
      </w:r>
      <w:r>
        <w:rPr>
          <w:lang w:val="en"/>
        </w:rPr>
        <w:t xml:space="preserve"> </w:t>
      </w:r>
      <w:r>
        <w:rPr>
          <w:lang w:val="en"/>
        </w:rPr>
        <w:t xml:space="preserve">(manifest-driven, idempotent,</w:t>
      </w:r>
      <w:r>
        <w:rPr>
          <w:lang w:val="en"/>
        </w:rPr>
        <w:t xml:space="preserve"> </w:t>
      </w:r>
      <w:r>
        <w:rPr>
          <w:lang w:val="en"/>
        </w:rPr>
        <w:t xml:space="preserve">prefix-scoped registrar, HXC-159 T-P1.04 — symlinks by reference, never</w:t>
      </w:r>
      <w:r>
        <w:rPr>
          <w:lang w:val="en"/>
        </w:rPr>
        <w:t xml:space="preserve"> </w:t>
      </w:r>
      <w:r>
        <w:rPr>
          <w:lang w:val="en"/>
        </w:rPr>
        <w:t xml:space="preserve">copies, per §11.4.28/§11.4.80; refuses fail-closed on any filesystem</w:t>
      </w:r>
      <w:r>
        <w:rPr>
          <w:lang w:val="en"/>
        </w:rPr>
        <w:t xml:space="preserve"> </w:t>
      </w:r>
      <w:r>
        <w:rPr>
          <w:lang w:val="en"/>
        </w:rPr>
        <w:t xml:space="preserve">collision it did not itself create);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helix_code/internal/agent/skill_dirs.go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ExternalSkillsDir</w:t>
      </w:r>
      <w:r>
        <w:rPr>
          <w:lang w:val="en"/>
        </w:rPr>
        <w:t xml:space="preserve">, tier 3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AllSkillsDirs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submodules/helix_agent/internal/skills/external_source.go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ExternalSkillSource.Load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RegisterWith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submodules/helix_agent/internal/router/router.go:353,373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HELIXSKILLS_EXTERNAL_SOURCE_DIR</w:t>
      </w:r>
      <w:r>
        <w:rPr>
          <w:lang w:val="en"/>
        </w:rPr>
        <w:t xml:space="preserve">).</w:t>
      </w:r>
    </w:p>
    <w:bookmarkEnd w:id="21"/>
    <w:bookmarkStart w:id="26" w:name="Xa95c1664a0b7d837c3c65f48962e0ba979f1977"/>
    <w:p>
      <w:pPr>
        <w:pStyle w:val="Heading2"/>
      </w:pPr>
      <w:r>
        <w:rPr>
          <w:lang w:val="en"/>
        </w:rPr>
        <w:t xml:space="preserve">3. The measured shadowing curve (Phase P2, real data)</w:t>
      </w:r>
    </w:p>
    <w:p>
      <w:pPr>
        <w:pStyle w:val="FirstParagraph"/>
      </w:pPr>
      <w:r>
        <w:rPr>
          <w:lang w:val="en"/>
        </w:rPr>
        <w:t xml:space="preserve">A real plot of the actual Phase P2 shadowing-benchmark measurement —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a hypothetical or illustrative curve. Source data:</w:t>
      </w:r>
      <w:r>
        <w:rPr>
          <w:lang w:val="en"/>
        </w:rPr>
        <w:t xml:space="preserve"> </w:t>
      </w:r>
      <w:hyperlink r:id="rId22">
        <w:r>
          <w:rPr>
            <w:rStyle w:val="VerbatimChar"/>
            <w:lang w:val="en"/>
          </w:rPr>
          <w:t xml:space="preserve">docs/qa/p2_shadowing_20260914/curve.csv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(three repetitions per size, 12 tasks per repetition).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n_active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pass_rate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mis-selection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small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0.8333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0.8333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large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0.8333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2.0</w:t>
            </w:r>
          </w:p>
        </w:tc>
      </w:tr>
    </w:tbl>
    <w:p>
      <w:pPr>
        <w:pStyle w:val="BodyText"/>
      </w:pPr>
      <w:r>
        <w:drawing>
          <wp:inline>
            <wp:extent cx="5334000" cy="3810000"/>
            <wp:effectExtent b="0" l="0" r="0" t="0"/>
            <wp:docPr descr="Mermaid diagram 3" title="" id="24" name="Picture"/>
            <a:graphic>
              <a:graphicData uri="http://schemas.openxmlformats.org/drawingml/2006/picture">
                <pic:pic>
                  <pic:nvPicPr>
                    <pic:cNvPr descr="/tmp/export_docx.XCc7KF/helix_code_docs_architecture_skills_architecture.md/block_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n"/>
        </w:rPr>
        <w:t xml:space="preserve">Honest finding, stated exactly as the source data states it (§11.4.6 —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never smoothed over):</w:t>
      </w:r>
      <w:r>
        <w:rPr>
          <w:lang w:val="en"/>
        </w:rPr>
        <w:t xml:space="preserve"> </w:t>
      </w:r>
      <w:r>
        <w:rPr>
          <w:lang w:val="en"/>
        </w:rPr>
        <w:t xml:space="preserve">the measured curve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FLAT</w:t>
      </w:r>
      <w:r>
        <w:rPr>
          <w:lang w:val="en"/>
        </w:rPr>
        <w:t xml:space="preserve"> </w:t>
      </w:r>
      <w:r>
        <w:rPr>
          <w:lang w:val="en"/>
        </w:rPr>
        <w:t xml:space="preserve">across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n_active ∈ {12, 16, 20}</w:t>
      </w:r>
      <w:r>
        <w:rPr>
          <w:lang w:val="en"/>
        </w:rPr>
        <w:t xml:space="preserve"> </w:t>
      </w:r>
      <w:r>
        <w:rPr>
          <w:lang w:val="en"/>
        </w:rPr>
        <w:t xml:space="preserve">— no knee was observed (spread 0.000 &lt; the 0.05</w:t>
      </w:r>
      <w:r>
        <w:rPr>
          <w:lang w:val="en"/>
        </w:rPr>
        <w:t xml:space="preserve"> </w:t>
      </w:r>
      <w:r>
        <w:rPr>
          <w:lang w:val="en"/>
        </w:rPr>
        <w:t xml:space="preserve">flat-detection threshold). Per the derivation record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docs/qa/p2_shadowing_20260914/derivation.md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"shadowing not observed on</w:t>
      </w:r>
      <w:r>
        <w:rPr>
          <w:i/>
          <w:iCs/>
          <w:lang w:val="en"/>
        </w:rPr>
        <w:t xml:space="preserve"> </w:t>
      </w:r>
      <w:r>
        <w:rPr>
          <w:i/>
          <w:iCs/>
          <w:lang w:val="en"/>
        </w:rPr>
        <w:t xml:space="preserve">this corpus/model in N∈{12,16,20}"</w:t>
      </w:r>
      <w:r>
        <w:rPr>
          <w:lang w:val="en"/>
        </w:rPr>
        <w:t xml:space="preserve">. The reported ceiling (</w:t>
      </w:r>
      <w:r>
        <w:rPr>
          <w:rStyle w:val="VerbatimChar"/>
          <w:lang w:val="en"/>
        </w:rPr>
        <w:t xml:space="preserve">N=20</w:t>
      </w:r>
      <w:r>
        <w:rPr>
          <w:lang w:val="en"/>
        </w:rPr>
        <w:t xml:space="preserve">)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provisional</w:t>
      </w:r>
      <w:r>
        <w:rPr>
          <w:lang w:val="en"/>
        </w:rPr>
        <w:t xml:space="preserve"> </w:t>
      </w:r>
      <w:r>
        <w:rPr>
          <w:lang w:val="en"/>
        </w:rPr>
        <w:t xml:space="preserve">— the largest tested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</w:t>
      </w:r>
      <w:r>
        <w:rPr>
          <w:lang w:val="en"/>
        </w:rPr>
        <w:t xml:space="preserve">, not a proven upper bound — an</w:t>
      </w:r>
      <w:r>
        <w:rPr>
          <w:lang w:val="en"/>
        </w:rPr>
        <w:t xml:space="preserve"> </w:t>
      </w:r>
      <w:r>
        <w:rPr>
          <w:lang w:val="en"/>
        </w:rPr>
        <w:t xml:space="preserve">honest gap per T-P2.03.3, not a buried one.</w:t>
      </w:r>
    </w:p>
    <w:bookmarkEnd w:id="26"/>
    <w:bookmarkStart w:id="30" w:name="X0b85aec953e3d5703c4c35b9db8f3fe298f2f01"/>
    <w:p>
      <w:pPr>
        <w:pStyle w:val="Heading2"/>
      </w:pPr>
      <w:r>
        <w:rPr>
          <w:lang w:val="en"/>
        </w:rPr>
        <w:t xml:space="preserve">4. Trust-tier and capability-enforcement flow</w:t>
      </w:r>
    </w:p>
    <w:p>
      <w:pPr>
        <w:pStyle w:val="FirstParagraph"/>
      </w:pPr>
      <w:r>
        <w:rPr>
          <w:lang w:val="en"/>
        </w:rPr>
        <w:t xml:space="preserve">How a skill's declared capabilities are actually enforced at the call</w:t>
      </w:r>
      <w:r>
        <w:rPr>
          <w:lang w:val="en"/>
        </w:rPr>
        <w:t xml:space="preserve"> </w:t>
      </w:r>
      <w:r>
        <w:rPr>
          <w:lang w:val="en"/>
        </w:rPr>
        <w:t xml:space="preserve">boundary — the sandbox-precondition gate (trust tier) feeding into the</w:t>
      </w:r>
      <w:r>
        <w:rPr>
          <w:lang w:val="en"/>
        </w:rPr>
        <w:t xml:space="preserve"> </w:t>
      </w:r>
      <w:r>
        <w:rPr>
          <w:lang w:val="en"/>
        </w:rPr>
        <w:t xml:space="preserve">per-call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AllowedTools</w:t>
      </w:r>
      <w:r>
        <w:rPr>
          <w:lang w:val="en"/>
        </w:rPr>
        <w:t xml:space="preserve"> </w:t>
      </w:r>
      <w:r>
        <w:rPr>
          <w:lang w:val="en"/>
        </w:rPr>
        <w:t xml:space="preserve">authorization decision (HelixAgent side;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submodules/helix_agent/docs/skills/SKILLS_SYSTEM.md</w:t>
      </w:r>
      <w:r>
        <w:rPr>
          <w:lang w:val="en"/>
        </w:rPr>
        <w:t xml:space="preserve"> </w:t>
      </w:r>
      <w:r>
        <w:rPr>
          <w:lang w:val="en"/>
        </w:rPr>
        <w:t xml:space="preserve">§3/§6 for the full</w:t>
      </w:r>
      <w:r>
        <w:rPr>
          <w:lang w:val="en"/>
        </w:rPr>
        <w:t xml:space="preserve"> </w:t>
      </w:r>
      <w:r>
        <w:rPr>
          <w:lang w:val="en"/>
        </w:rPr>
        <w:t xml:space="preserve">narrative).</w:t>
      </w:r>
    </w:p>
    <w:p>
      <w:pPr>
        <w:pStyle w:val="BodyText"/>
      </w:pPr>
      <w:r>
        <w:drawing>
          <wp:inline>
            <wp:extent cx="5334000" cy="12084293"/>
            <wp:effectExtent b="0" l="0" r="0" t="0"/>
            <wp:docPr descr="Mermaid diagram 4" title="" id="28" name="Picture"/>
            <a:graphic>
              <a:graphicData uri="http://schemas.openxmlformats.org/drawingml/2006/picture">
                <pic:pic>
                  <pic:nvPicPr>
                    <pic:cNvPr descr="/tmp/export_docx.XCc7KF/helix_code_docs_architecture_skills_architecture.md/block_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84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n"/>
        </w:rPr>
        <w:t xml:space="preserve">Sources: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submodules/skills/pkg/skills/sandbox_gate.go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EnforceSandboxPrecondition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ThirdPartyActivationBlockedError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submodules/helix_agent/internal/skills/authorizer.go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SkillAuthorizer.Authorize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skillDeclaresTool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AuditLog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submodules/helix_agent/internal/skills/types.go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AllowedTools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ParseAllowedTools</w:t>
      </w:r>
      <w:r>
        <w:rPr>
          <w:lang w:val="en"/>
        </w:rPr>
        <w:t xml:space="preserve">).</w:t>
      </w:r>
    </w:p>
    <w:bookmarkEnd w:id="30"/>
    <w:bookmarkStart w:id="31" w:name="sources-verified-2026-09-23"/>
    <w:p>
      <w:pPr>
        <w:pStyle w:val="Heading2"/>
      </w:pPr>
      <w:r>
        <w:rPr>
          <w:lang w:val="en"/>
        </w:rPr>
        <w:t xml:space="preserve">Sources verified 2026-09-23</w:t>
      </w:r>
    </w:p>
    <w:p>
      <w:pPr>
        <w:pStyle w:val="FirstParagraph"/>
      </w:pPr>
      <w:r>
        <w:rPr>
          <w:lang w:val="en"/>
        </w:rPr>
        <w:t xml:space="preserve">Every source citation above was cross-checked against the live wiring code —</w:t>
      </w:r>
      <w:r>
        <w:rPr>
          <w:lang w:val="en"/>
        </w:rPr>
        <w:t xml:space="preserve"> </w:t>
      </w:r>
      <w:r>
        <w:rPr>
          <w:lang w:val="en"/>
        </w:rPr>
        <w:t xml:space="preserve">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submodules/helix_agent/docs/skills/SKILLS_SYSTEM.md</w:t>
      </w:r>
      <w:r>
        <w:rPr>
          <w:lang w:val="en"/>
        </w:rPr>
        <w:t xml:space="preserve">'s own</w:t>
      </w:r>
      <w:r>
        <w:rPr>
          <w:lang w:val="en"/>
        </w:rPr>
        <w:t xml:space="preserve"> </w:t>
      </w:r>
      <w:r>
        <w:rPr>
          <w:lang w:val="en"/>
        </w:rPr>
        <w:t xml:space="preserve">"Sources verified" footer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qa-results/hxc159/docs_update/&lt;run-id&gt;/</w:t>
      </w:r>
      <w:r>
        <w:rPr>
          <w:lang w:val="en"/>
        </w:rPr>
        <w:t xml:space="preserve"> </w:t>
      </w:r>
      <w:r>
        <w:rPr>
          <w:lang w:val="en"/>
        </w:rPr>
        <w:t xml:space="preserve">for</w:t>
      </w:r>
      <w:r>
        <w:rPr>
          <w:lang w:val="en"/>
        </w:rPr>
        <w:t xml:space="preserve"> </w:t>
      </w:r>
      <w:r>
        <w:rPr>
          <w:lang w:val="en"/>
        </w:rPr>
        <w:t xml:space="preserve">the mechanical citation-checker output covering the same trees.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9" Target="../../../constitution/docs/research/extensions/speckit_superpowers/implementation/README.md#bridge-layer-health-b1-probe-result" TargetMode="External" /><Relationship Type="http://schemas.openxmlformats.org/officeDocument/2006/relationships/hyperlink" Id="rId13" Target="../../../submodules/helix_agent/docs/skills/SKILLS_SYSTEM.md" TargetMode="External" /><Relationship Type="http://schemas.openxmlformats.org/officeDocument/2006/relationships/hyperlink" Id="rId22" Target="../../docs/qa/p2_shadowing_20260914/curve.csv" TargetMode="External" /><Relationship Type="http://schemas.openxmlformats.org/officeDocument/2006/relationships/hyperlink" Id="rId10" Target="../CAPABILITIES.md" TargetMode="External" /><Relationship Type="http://schemas.openxmlformats.org/officeDocument/2006/relationships/hyperlink" Id="rId12" Target="../guides/skills_faq.md" TargetMode="External" /><Relationship Type="http://schemas.openxmlformats.org/officeDocument/2006/relationships/hyperlink" Id="rId11" Target="../guides/skills_user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onstitution/docs/research/extensions/speckit_superpowers/implementation/README.md#bridge-layer-health-b1-probe-result" TargetMode="External" /><Relationship Type="http://schemas.openxmlformats.org/officeDocument/2006/relationships/hyperlink" Id="rId13" Target="../../../submodules/helix_agent/docs/skills/SKILLS_SYSTEM.md" TargetMode="External" /><Relationship Type="http://schemas.openxmlformats.org/officeDocument/2006/relationships/hyperlink" Id="rId22" Target="../../docs/qa/p2_shadowing_20260914/curve.csv" TargetMode="External" /><Relationship Type="http://schemas.openxmlformats.org/officeDocument/2006/relationships/hyperlink" Id="rId10" Target="../CAPABILITIES.md" TargetMode="External" /><Relationship Type="http://schemas.openxmlformats.org/officeDocument/2006/relationships/hyperlink" Id="rId12" Target="../guides/skills_faq.md" TargetMode="External" /><Relationship Type="http://schemas.openxmlformats.org/officeDocument/2006/relationships/hyperlink" Id="rId11" Target="../guides/skills_user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2026-09-23T01:05:37Z</dcterms:created>
  <dcterms:modified xsi:type="dcterms:W3CDTF">2026-09-23T01:05:37Z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