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kills-faq-hxc-159-t-p8013"/>
    <w:p>
      <w:pPr>
        <w:pStyle w:val="Heading1"/>
      </w:pPr>
      <w:r>
        <w:rPr>
          <w:lang w:val="en"/>
        </w:rPr>
        <w:t xml:space="preserve">Skills FAQ (HXC-159 T-P8.01.3)</w:t>
      </w:r>
    </w:p>
    <w:p>
      <w:pPr>
        <w:pStyle w:val="FirstParagraph"/>
      </w:pPr>
      <w:r>
        <w:rPr>
          <w:b/>
          <w:bCs/>
          <w:lang w:val="en"/>
        </w:rPr>
        <w:t xml:space="preserve">Revision</w:t>
      </w:r>
      <w:r>
        <w:rPr>
          <w:lang w:val="en"/>
        </w:rPr>
        <w:t xml:space="preserve">: 1 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 modified</w:t>
      </w:r>
      <w:r>
        <w:rPr>
          <w:lang w:val="en"/>
        </w:rPr>
        <w:t xml:space="preserve">: 2026-09-23 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Status</w:t>
      </w:r>
      <w:r>
        <w:rPr>
          <w:lang w:val="en"/>
        </w:rPr>
        <w:t xml:space="preserve">: current</w:t>
      </w:r>
    </w:p>
    <w:p>
      <w:pPr>
        <w:pStyle w:val="BodyText"/>
      </w:pPr>
      <w:r>
        <w:rPr>
          <w:lang w:val="en"/>
        </w:rPr>
        <w:t xml:space="preserve">Every entry below is based on a genuine question this multi-phase build</w:t>
      </w:r>
      <w:r>
        <w:rPr>
          <w:lang w:val="en"/>
        </w:rPr>
        <w:t xml:space="preserve"> </w:t>
      </w:r>
      <w:r>
        <w:rPr>
          <w:lang w:val="en"/>
        </w:rPr>
        <w:t xml:space="preserve">(HXC-159 Phases P4–P8) actually surfaced — traced to the phase report, commit,</w:t>
      </w:r>
      <w:r>
        <w:rPr>
          <w:lang w:val="en"/>
        </w:rPr>
        <w:t xml:space="preserve"> </w:t>
      </w:r>
      <w:r>
        <w:rPr>
          <w:lang w:val="en"/>
        </w:rPr>
        <w:t xml:space="preserve">or test that produced it — never invented generic filler. See</w:t>
      </w:r>
      <w:r>
        <w:rPr>
          <w:lang w:val="en"/>
        </w:rPr>
        <w:t xml:space="preserve"> </w:t>
      </w:r>
      <w:hyperlink r:id="rId9">
        <w:r>
          <w:rPr>
            <w:rStyle w:val="VerbatimChar"/>
            <w:lang w:val="en"/>
          </w:rPr>
          <w:t xml:space="preserve">docs/guides/skills_user_manual.md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for the reference</w:t>
      </w:r>
      <w:r>
        <w:rPr>
          <w:lang w:val="en"/>
        </w:rPr>
        <w:t xml:space="preserve"> </w:t>
      </w:r>
      <w:r>
        <w:rPr>
          <w:lang w:val="en"/>
        </w:rPr>
        <w:t xml:space="preserve">manual this FAQ complements.</w:t>
      </w:r>
    </w:p>
    <w:p>
      <w:r>
        <w:pict>
          <v:rect style="width:0;height:1.5pt" o:hralign="center" o:hrstd="t" o:hr="t"/>
        </w:pict>
      </w:r>
    </w:p>
    <w:bookmarkStart w:id="10" w:name="X9285b765b6addcf881136f238709b0ac315528a"/>
    <w:p>
      <w:pPr>
        <w:pStyle w:val="Heading3"/>
      </w:pPr>
      <w:r>
        <w:rPr>
          <w:lang w:val="en"/>
        </w:rPr>
        <w:t xml:space="preserve">Q: I installed a skill for the CLI. Why doesn't the TUI see it?</w:t>
      </w:r>
    </w:p>
    <w:p>
      <w:pPr>
        <w:pStyle w:val="FirstParagraph"/>
      </w:pPr>
      <w:r>
        <w:rPr>
          <w:b/>
          <w:bCs/>
          <w:lang w:val="en"/>
        </w:rPr>
        <w:t xml:space="preserve">A:</w:t>
      </w:r>
      <w:r>
        <w:rPr>
          <w:lang w:val="en"/>
        </w:rPr>
        <w:t xml:space="preserve"> </w:t>
      </w:r>
      <w:r>
        <w:rPr>
          <w:lang w:val="en"/>
        </w:rPr>
        <w:t xml:space="preserve">Before HXC-159 Phase P5 (T-P5.03), this was a real bug, not a</w:t>
      </w:r>
      <w:r>
        <w:rPr>
          <w:lang w:val="en"/>
        </w:rPr>
        <w:t xml:space="preserve"> </w:t>
      </w:r>
      <w:r>
        <w:rPr>
          <w:lang w:val="en"/>
        </w:rPr>
        <w:t xml:space="preserve">misunderstanding — the CLI resolved its user-level skills directory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os.UserConfigDir()/helixcode/skills</w:t>
      </w:r>
      <w:r>
        <w:rPr>
          <w:lang w:val="en"/>
        </w:rPr>
        <w:t xml:space="preserve">, while the TUI and desktop front-ends</w:t>
      </w:r>
      <w:r>
        <w:rPr>
          <w:lang w:val="en"/>
        </w:rPr>
        <w:t xml:space="preserve"> </w:t>
      </w:r>
      <w:r>
        <w:rPr>
          <w:lang w:val="en"/>
        </w:rPr>
        <w:t xml:space="preserve">resolved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$HOME/.helix/skills</w:t>
      </w:r>
      <w:r>
        <w:rPr>
          <w:lang w:val="en"/>
        </w:rPr>
        <w:t xml:space="preserve">, two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independent, non-overlapping</w:t>
      </w:r>
      <w:r>
        <w:rPr>
          <w:lang w:val="en"/>
        </w:rPr>
        <w:t xml:space="preserve"> </w:t>
      </w:r>
      <w:r>
        <w:rPr>
          <w:lang w:val="en"/>
        </w:rPr>
        <w:t xml:space="preserve">directories. A skill installed for one front-end was genuinely invisible to</w:t>
      </w:r>
      <w:r>
        <w:rPr>
          <w:lang w:val="en"/>
        </w:rPr>
        <w:t xml:space="preserve"> </w:t>
      </w:r>
      <w:r>
        <w:rPr>
          <w:lang w:val="en"/>
        </w:rPr>
        <w:t xml:space="preserve">the other. This is fixed: every front-end now scans the same four-tier</w:t>
      </w:r>
      <w:r>
        <w:rPr>
          <w:lang w:val="en"/>
        </w:rPr>
        <w:t xml:space="preserve"> </w:t>
      </w:r>
      <w:r>
        <w:rPr>
          <w:lang w:val="en"/>
        </w:rPr>
        <w:t xml:space="preserve">ordered list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agent.AllSkillsDirs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internal/agent/skill_dirs.go:125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including BOTH the old and the new user-level locations (tiers 1 and 2). If</w:t>
      </w:r>
      <w:r>
        <w:rPr>
          <w:lang w:val="en"/>
        </w:rPr>
        <w:t xml:space="preserve"> </w:t>
      </w:r>
      <w:r>
        <w:rPr>
          <w:lang w:val="en"/>
        </w:rPr>
        <w:t xml:space="preserve">you are still seeing this on a current build, verify your skill file is under</w:t>
      </w:r>
      <w:r>
        <w:rPr>
          <w:lang w:val="en"/>
        </w:rPr>
        <w:t xml:space="preserve"> </w:t>
      </w:r>
      <w:r>
        <w:rPr>
          <w:lang w:val="en"/>
        </w:rPr>
        <w:t xml:space="preserve">one of the four tiers documented in the user manual §2, not some other</w:t>
      </w:r>
      <w:r>
        <w:rPr>
          <w:lang w:val="en"/>
        </w:rPr>
        <w:t xml:space="preserve"> </w:t>
      </w:r>
      <w:r>
        <w:rPr>
          <w:lang w:val="en"/>
        </w:rPr>
        <w:t xml:space="preserve">directory. Full history: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docs/guides/skills_directory_migration.md</w:t>
      </w:r>
      <w:r>
        <w:rPr>
          <w:lang w:val="en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37ba3c7e3a873bbb8419da1a8652668bf6c917f"/>
    <w:p>
      <w:pPr>
        <w:pStyle w:val="Heading3"/>
      </w:pPr>
      <w:r>
        <w:rPr>
          <w:lang w:val="en"/>
        </w:rPr>
        <w:t xml:space="preserve">Q: Why does the cross-consumer parity gate (</w:t>
      </w:r>
      <w:r>
        <w:rPr>
          <w:rStyle w:val="VerbatimChar"/>
          <w:lang w:val="en"/>
        </w:rPr>
        <w:t xml:space="preserve">CM-CROSS-CONSUMER-PARITY</w:t>
      </w:r>
      <w:r>
        <w:rPr>
          <w:lang w:val="en"/>
        </w:rPr>
        <w:t xml:space="preserve">) fail?</w:t>
      </w:r>
    </w:p>
    <w:p>
      <w:pPr>
        <w:pStyle w:val="FirstParagraph"/>
      </w:pPr>
      <w:r>
        <w:rPr>
          <w:b/>
          <w:bCs/>
          <w:lang w:val="en"/>
        </w:rPr>
        <w:t xml:space="preserve">A:</w:t>
      </w:r>
      <w:r>
        <w:rPr>
          <w:lang w:val="en"/>
        </w:rPr>
        <w:t xml:space="preserve"> </w:t>
      </w:r>
      <w:r>
        <w:rPr>
          <w:lang w:val="en"/>
        </w:rPr>
        <w:t xml:space="preserve">As of this revision, running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skillparity</w:t>
      </w:r>
      <w:r>
        <w:rPr>
          <w:lang w:val="en"/>
        </w:rPr>
        <w:t xml:space="preserve"> </w:t>
      </w:r>
      <w:r>
        <w:rPr>
          <w:lang w:val="en"/>
        </w:rPr>
        <w:t xml:space="preserve">against the ACTUAL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helix_agent</w:t>
      </w:r>
      <w:r>
        <w:rPr>
          <w:lang w:val="en"/>
        </w:rPr>
        <w:t xml:space="preserve"> </w:t>
      </w:r>
      <w:r>
        <w:rPr>
          <w:lang w:val="en"/>
        </w:rPr>
        <w:t xml:space="preserve">capability reports over the same fixture corpus</w:t>
      </w:r>
      <w:r>
        <w:rPr>
          <w:lang w:val="en"/>
        </w:rPr>
        <w:t xml:space="preserve"> </w:t>
      </w:r>
      <w:r>
        <w:rPr>
          <w:lang w:val="en"/>
        </w:rPr>
        <w:t xml:space="preserve">surfaces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3 genuine, currently-unmarked surface asymmetries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's own skill loader has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capability_declaration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capability_enforcement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audit_log</w:t>
      </w:r>
      <w:r>
        <w:rPr>
          <w:lang w:val="en"/>
        </w:rPr>
        <w:t xml:space="preserve"> </w:t>
      </w:r>
      <w:r>
        <w:rPr>
          <w:lang w:val="en"/>
        </w:rPr>
        <w:t xml:space="preserve">surface, while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helix_agent</w:t>
      </w:r>
      <w:r>
        <w:rPr>
          <w:lang w:val="en"/>
        </w:rPr>
        <w:t xml:space="preserve">'s does</w:t>
      </w:r>
      <w:r>
        <w:rPr>
          <w:lang w:val="en"/>
        </w:rPr>
        <w:t xml:space="preserve"> </w:t>
      </w:r>
      <w:r>
        <w:rPr>
          <w:lang w:val="en"/>
        </w:rPr>
        <w:t xml:space="preserve">(via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SkillAuthorizer</w:t>
      </w:r>
      <w:r>
        <w:rPr>
          <w:lang w:val="en"/>
        </w:rPr>
        <w:t xml:space="preserve">, HXC-159 T-P6.03). This is not a bug in the parity gate</w:t>
      </w:r>
      <w:r>
        <w:rPr>
          <w:lang w:val="en"/>
        </w:rPr>
        <w:t xml:space="preserve"> </w:t>
      </w:r>
      <w:r>
        <w:rPr>
          <w:lang w:val="en"/>
        </w:rPr>
        <w:t xml:space="preserve">— it is the gate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working exactly as designed</w:t>
      </w:r>
      <w:r>
        <w:rPr>
          <w:lang w:val="en"/>
        </w:rPr>
        <w:t xml:space="preserve">: it exists to catch real,</w:t>
      </w:r>
      <w:r>
        <w:rPr>
          <w:lang w:val="en"/>
        </w:rPr>
        <w:t xml:space="preserve"> </w:t>
      </w:r>
      <w:r>
        <w:rPr>
          <w:lang w:val="en"/>
        </w:rPr>
        <w:t xml:space="preserve">pre-existing capability drift between the two consumers, and it found one.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's TUI/CLI skill system is a lightweight trigger-regex mechanism</w:t>
      </w:r>
      <w:r>
        <w:rPr>
          <w:lang w:val="en"/>
        </w:rPr>
        <w:t xml:space="preserve"> </w:t>
      </w:r>
      <w:r>
        <w:rPr>
          <w:lang w:val="en"/>
        </w:rPr>
        <w:t xml:space="preserve">(see the manual §3) that does not implement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allowed-tools</w:t>
      </w:r>
      <w:r>
        <w:rPr>
          <w:lang w:val="en"/>
        </w:rPr>
        <w:t xml:space="preserve"> </w:t>
      </w:r>
      <w:r>
        <w:rPr>
          <w:lang w:val="en"/>
        </w:rPr>
        <w:t xml:space="preserve">enforcement,</w:t>
      </w:r>
      <w:r>
        <w:rPr>
          <w:lang w:val="en"/>
        </w:rPr>
        <w:t xml:space="preserve"> </w:t>
      </w:r>
      <w:r>
        <w:rPr>
          <w:lang w:val="en"/>
        </w:rPr>
        <w:t xml:space="preserve">content-hash provenance pinning, or an audit log the way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helix_agent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</w:t>
      </w:r>
      <w:r>
        <w:rPr>
          <w:lang w:val="en"/>
        </w:rPr>
        <w:t xml:space="preserve"> </w:t>
      </w:r>
      <w:r>
        <w:rPr>
          <w:lang w:val="en"/>
        </w:rPr>
        <w:t xml:space="preserve">package does — that gap is tracked as a follow-up item</w:t>
      </w:r>
      <w:r>
        <w:rPr>
          <w:lang w:val="en"/>
        </w:rPr>
        <w:t xml:space="preserve"> </w:t>
      </w:r>
      <w:r>
        <w:rPr>
          <w:lang w:val="en"/>
        </w:rPr>
        <w:t xml:space="preserve">(HXC-159 T-P5.05.4 already documented it; the parity gate's job was to prove</w:t>
      </w:r>
      <w:r>
        <w:rPr>
          <w:lang w:val="en"/>
        </w:rPr>
        <w:t xml:space="preserve"> </w:t>
      </w:r>
      <w:r>
        <w:rPr>
          <w:lang w:val="en"/>
        </w:rPr>
        <w:t xml:space="preserve">it is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detectable</w:t>
      </w:r>
      <w:r>
        <w:rPr>
          <w:lang w:val="en"/>
        </w:rPr>
        <w:t xml:space="preserve">, not to close it). If you are extending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lang w:val="en"/>
        </w:rPr>
        <w:t xml:space="preserve">loader to add one of those three capabilities, either implement the matching</w:t>
      </w:r>
      <w:r>
        <w:rPr>
          <w:lang w:val="en"/>
        </w:rPr>
        <w:t xml:space="preserve"> </w:t>
      </w:r>
      <w:r>
        <w:rPr>
          <w:lang w:val="en"/>
        </w:rPr>
        <w:t xml:space="preserve">capability on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helix_agent</w:t>
      </w:r>
      <w:r>
        <w:rPr>
          <w:lang w:val="en"/>
        </w:rPr>
        <w:t xml:space="preserve"> </w:t>
      </w:r>
      <w:r>
        <w:rPr>
          <w:lang w:val="en"/>
        </w:rPr>
        <w:t xml:space="preserve">side too, or mark 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OptionalCapability{Key, Reason}</w:t>
      </w:r>
      <w:r>
        <w:rPr>
          <w:lang w:val="en"/>
        </w:rPr>
        <w:t xml:space="preserve"> </w:t>
      </w:r>
      <w:r>
        <w:rPr>
          <w:lang w:val="en"/>
        </w:rPr>
        <w:t xml:space="preserve">on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both</w:t>
      </w:r>
      <w:r>
        <w:rPr>
          <w:lang w:val="en"/>
        </w:rPr>
        <w:t xml:space="preserve"> </w:t>
      </w:r>
      <w:r>
        <w:rPr>
          <w:lang w:val="en"/>
        </w:rPr>
        <w:t xml:space="preserve">sides — a one-sided mark is deliberately insufficient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TestDiff_OneSidedMarkIsNotEnough</w:t>
      </w:r>
      <w:r>
        <w:rPr>
          <w:lang w:val="en"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dd517cf693710ee5f49544a4cc8dada933b1567"/>
    <w:p>
      <w:pPr>
        <w:pStyle w:val="Heading3"/>
      </w:pPr>
      <w:r>
        <w:rPr>
          <w:lang w:val="en"/>
        </w:rPr>
        <w:t xml:space="preserve">Q: Why can HelixAgent depend on the skills library, but the library can't depend on HelixAgent?</w:t>
      </w:r>
    </w:p>
    <w:p>
      <w:pPr>
        <w:pStyle w:val="FirstParagraph"/>
      </w:pPr>
      <w:r>
        <w:rPr>
          <w:b/>
          <w:bCs/>
          <w:lang w:val="en"/>
        </w:rPr>
        <w:t xml:space="preserve">A:</w:t>
      </w:r>
      <w:r>
        <w:rPr>
          <w:lang w:val="en"/>
        </w:rPr>
        <w:t xml:space="preserve"> </w:t>
      </w:r>
      <w:r>
        <w:rPr>
          <w:lang w:val="en"/>
        </w:rPr>
        <w:t xml:space="preserve">This is decision D-4 in the HXC-159 spec, and it is load-bearing, not</w:t>
      </w:r>
      <w:r>
        <w:rPr>
          <w:lang w:val="en"/>
        </w:rPr>
        <w:t xml:space="preserve"> </w:t>
      </w:r>
      <w:r>
        <w:rPr>
          <w:lang w:val="en"/>
        </w:rPr>
        <w:t xml:space="preserve">arbitrary. The upstream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HelixDevelopment/HelixSkills</w:t>
      </w:r>
      <w:r>
        <w:rPr>
          <w:lang w:val="en"/>
        </w:rPr>
        <w:t xml:space="preserve"> </w:t>
      </w:r>
      <w:r>
        <w:rPr>
          <w:lang w:val="en"/>
        </w:rPr>
        <w:t xml:space="preserve">submodule's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 </w:t>
      </w:r>
      <w:r>
        <w:rPr>
          <w:lang w:val="en"/>
        </w:rPr>
        <w:t xml:space="preserve">already declares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HelixDevelopment/HelixAgent</w:t>
      </w:r>
      <w:r>
        <w:rPr>
          <w:lang w:val="en"/>
        </w:rPr>
        <w:t xml:space="preserve"> </w:t>
      </w:r>
      <w:r>
        <w:rPr>
          <w:lang w:val="en"/>
        </w:rPr>
        <w:t xml:space="preserve">as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its</w:t>
      </w:r>
      <w:r>
        <w:rPr>
          <w:lang w:val="en"/>
        </w:rPr>
        <w:t xml:space="preserve"> </w:t>
      </w:r>
      <w:r>
        <w:rPr>
          <w:lang w:val="en"/>
        </w:rPr>
        <w:t xml:space="preserve">dependency. If HelixAgent's own code then imported the skills library as a Go</w:t>
      </w:r>
      <w:r>
        <w:rPr>
          <w:lang w:val="en"/>
        </w:rPr>
        <w:t xml:space="preserve"> </w:t>
      </w:r>
      <w:r>
        <w:rPr>
          <w:lang w:val="en"/>
        </w:rPr>
        <w:t xml:space="preserve">package, that would invert the edge and create a dependency cycle — and</w:t>
      </w:r>
      <w:r>
        <w:rPr>
          <w:lang w:val="en"/>
        </w:rPr>
        <w:t xml:space="preserve"> </w:t>
      </w:r>
      <w:r>
        <w:rPr>
          <w:lang w:val="en"/>
        </w:rPr>
        <w:t xml:space="preserve">CONST-051(C) (submodule dependency-layout discipline) forbids exactly the</w:t>
      </w:r>
      <w:r>
        <w:rPr>
          <w:lang w:val="en"/>
        </w:rPr>
        <w:t xml:space="preserve"> </w:t>
      </w:r>
      <w:r>
        <w:rPr>
          <w:lang w:val="en"/>
        </w:rPr>
        <w:t xml:space="preserve">nested own-org submodule chain that would result. The mandated fix: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HelixAgent is a client, never an importer</w:t>
      </w:r>
      <w:r>
        <w:rPr>
          <w:lang w:val="en"/>
        </w:rPr>
        <w:t xml:space="preserve"> </w:t>
      </w:r>
      <w:r>
        <w:rPr>
          <w:lang w:val="en"/>
        </w:rPr>
        <w:t xml:space="preserve">— it consumes skills through a</w:t>
      </w:r>
      <w:r>
        <w:rPr>
          <w:lang w:val="en"/>
        </w:rPr>
        <w:t xml:space="preserve"> </w:t>
      </w:r>
      <w:r>
        <w:rPr>
          <w:lang w:val="en"/>
        </w:rPr>
        <w:t xml:space="preserve">registered external tool source / MCP-style client boundary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ExternalSkillSource.RegisterWith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submodules/helix_agent/internal/skills/external_source.go:98</w:t>
      </w:r>
      <w:r>
        <w:rPr>
          <w:lang w:val="en"/>
        </w:rPr>
        <w:t xml:space="preserve">), never a</w:t>
      </w:r>
      <w:r>
        <w:rPr>
          <w:lang w:val="en"/>
        </w:rPr>
        <w:t xml:space="preserve"> </w:t>
      </w:r>
      <w:r>
        <w:rPr>
          <w:lang w:val="en"/>
        </w:rPr>
        <w:t xml:space="preserve">direct Go import. This is mechanically enforced, not just documented: a</w:t>
      </w:r>
      <w:r>
        <w:rPr>
          <w:lang w:val="en"/>
        </w:rPr>
        <w:t xml:space="preserve"> </w:t>
      </w:r>
      <w:r>
        <w:rPr>
          <w:lang w:val="en"/>
        </w:rPr>
        <w:t xml:space="preserve">module-graph edge gate (HXC-159 T-P6.05) scans HelixAgent's full dependency</w:t>
      </w:r>
      <w:r>
        <w:rPr>
          <w:lang w:val="en"/>
        </w:rPr>
        <w:t xml:space="preserve"> </w:t>
      </w:r>
      <w:r>
        <w:rPr>
          <w:lang w:val="en"/>
        </w:rPr>
        <w:t xml:space="preserve">graph and asserts zero edges into the skills module; the same discipline</w:t>
      </w:r>
      <w:r>
        <w:rPr>
          <w:lang w:val="en"/>
        </w:rPr>
        <w:t xml:space="preserve"> </w:t>
      </w:r>
      <w:r>
        <w:rPr>
          <w:lang w:val="en"/>
        </w:rPr>
        <w:t xml:space="preserve">applies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internal/skillconformance</w:t>
      </w:r>
      <w:r>
        <w:rPr>
          <w:lang w:val="en"/>
        </w:rPr>
        <w:t xml:space="preserve"> </w:t>
      </w:r>
      <w:r>
        <w:rPr>
          <w:lang w:val="en"/>
        </w:rPr>
        <w:t xml:space="preserve">package, which</w:t>
      </w:r>
      <w:r>
        <w:rPr>
          <w:lang w:val="en"/>
        </w:rPr>
        <w:t xml:space="preserve"> </w:t>
      </w:r>
      <w:r>
        <w:rPr>
          <w:lang w:val="en"/>
        </w:rPr>
        <w:t xml:space="preserve">independently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re-implements</w:t>
      </w:r>
      <w:r>
        <w:rPr>
          <w:lang w:val="en"/>
        </w:rPr>
        <w:t xml:space="preserve"> </w:t>
      </w:r>
      <w:r>
        <w:rPr>
          <w:lang w:val="en"/>
        </w:rPr>
        <w:t xml:space="preserve">the shared capability-manifest schema rather</w:t>
      </w:r>
      <w:r>
        <w:rPr>
          <w:lang w:val="en"/>
        </w:rPr>
        <w:t xml:space="preserve"> </w:t>
      </w:r>
      <w:r>
        <w:rPr>
          <w:lang w:val="en"/>
        </w:rPr>
        <w:t xml:space="preserve">than importing it (</w:t>
      </w:r>
      <w:r>
        <w:rPr>
          <w:rStyle w:val="VerbatimChar"/>
          <w:lang w:val="en"/>
        </w:rPr>
        <w:t xml:space="preserve">git diff --stat -- go.mod go.sum</w:t>
      </w:r>
      <w:r>
        <w:rPr>
          <w:lang w:val="en"/>
        </w:rPr>
        <w:t xml:space="preserve"> </w:t>
      </w:r>
      <w:r>
        <w:rPr>
          <w:lang w:val="en"/>
        </w:rPr>
        <w:t xml:space="preserve">stays empty in both</w:t>
      </w:r>
      <w:r>
        <w:rPr>
          <w:lang w:val="en"/>
        </w:rPr>
        <w:t xml:space="preserve"> </w:t>
      </w:r>
      <w:r>
        <w:rPr>
          <w:lang w:val="en"/>
        </w:rPr>
        <w:t xml:space="preserve">consumer trees).</w:t>
      </w:r>
    </w:p>
    <w:p>
      <w:r>
        <w:pict>
          <v:rect style="width:0;height:1.5pt" o:hralign="center" o:hrstd="t" o:hr="t"/>
        </w:pict>
      </w:r>
    </w:p>
    <w:bookmarkEnd w:id="12"/>
    <w:bookmarkStart w:id="13" w:name="X182c225680eff57aef5a0133d2e91c8275393c0"/>
    <w:p>
      <w:pPr>
        <w:pStyle w:val="Heading3"/>
      </w:pPr>
      <w:r>
        <w:rPr>
          <w:lang w:val="en"/>
        </w:rPr>
        <w:t xml:space="preserve">Q: I tagged a skill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third-party</w:t>
      </w:r>
      <w:r>
        <w:rPr>
          <w:lang w:val="en"/>
        </w:rPr>
        <w:t xml:space="preserve"> </w:t>
      </w:r>
      <w:r>
        <w:rPr>
          <w:lang w:val="en"/>
        </w:rPr>
        <w:t xml:space="preserve">trust tier and it refuses to run. Is this broken?</w:t>
      </w:r>
    </w:p>
    <w:p>
      <w:pPr>
        <w:pStyle w:val="FirstParagraph"/>
      </w:pPr>
      <w:r>
        <w:rPr>
          <w:b/>
          <w:bCs/>
          <w:lang w:val="en"/>
        </w:rPr>
        <w:t xml:space="preserve">A:</w:t>
      </w:r>
      <w:r>
        <w:rPr>
          <w:lang w:val="en"/>
        </w:rPr>
        <w:t xml:space="preserve"> </w:t>
      </w:r>
      <w:r>
        <w:rPr>
          <w:lang w:val="en"/>
        </w:rPr>
        <w:t xml:space="preserve">No — this is the C5 sandbox precondition gate working as intended, and</w:t>
      </w:r>
      <w:r>
        <w:rPr>
          <w:lang w:val="en"/>
        </w:rPr>
        <w:t xml:space="preserve"> </w:t>
      </w:r>
      <w:r>
        <w:rPr>
          <w:lang w:val="en"/>
        </w:rPr>
        <w:t xml:space="preserve">it is a genuine, honestly-declared limitation rather than a bug.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EnforceSandboxPrecondition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submodules/skills/pkg/skills/sandbox_gate.go</w:t>
      </w:r>
      <w:r>
        <w:rPr>
          <w:lang w:val="en"/>
        </w:rPr>
        <w:t xml:space="preserve">)</w:t>
      </w:r>
      <w:r>
        <w:rPr>
          <w:lang w:val="en"/>
        </w:rPr>
        <w:t xml:space="preserve"> </w:t>
      </w:r>
      <w:r>
        <w:rPr>
          <w:lang w:val="en"/>
        </w:rPr>
        <w:t xml:space="preserve">refuses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third-party</w:t>
      </w:r>
      <w:r>
        <w:rPr>
          <w:lang w:val="en"/>
        </w:rPr>
        <w:t xml:space="preserve">-tier activation while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sandboxReady=false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lang w:val="en"/>
        </w:rPr>
        <w:t xml:space="preserve">which is the real current state of this project, because the only shipped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IsolatedExecutor</w:t>
      </w:r>
      <w:r>
        <w:rPr>
          <w:lang w:val="en"/>
        </w:rPr>
        <w:t xml:space="preserve"> </w:t>
      </w:r>
      <w:r>
        <w:rPr>
          <w:lang w:val="en"/>
        </w:rPr>
        <w:t xml:space="preserve">implementation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SkipIsolatedExecutor</w:t>
      </w:r>
      <w:r>
        <w:rPr>
          <w:lang w:val="en"/>
        </w:rPr>
        <w:t xml:space="preserve">, a deliberate</w:t>
      </w:r>
      <w:r>
        <w:rPr>
          <w:lang w:val="en"/>
        </w:rPr>
        <w:t xml:space="preserve"> </w:t>
      </w:r>
      <w:r>
        <w:rPr>
          <w:lang w:val="en"/>
        </w:rPr>
        <w:t xml:space="preserve">no-op stand-in, not a working sandbox. Before this gate was landed</w:t>
      </w:r>
      <w:r>
        <w:rPr>
          <w:lang w:val="en"/>
        </w:rPr>
        <w:t xml:space="preserve"> </w:t>
      </w:r>
      <w:r>
        <w:rPr>
          <w:lang w:val="en"/>
        </w:rPr>
        <w:t xml:space="preserve">(HXC-159 T-P7.05.5), the refusal existed only as a doc comment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VendoredTierEnforced</w:t>
      </w:r>
      <w:r>
        <w:rPr>
          <w:lang w:val="en"/>
        </w:rPr>
        <w:t xml:space="preserve"> </w:t>
      </w:r>
      <w:r>
        <w:rPr>
          <w:lang w:val="en"/>
        </w:rPr>
        <w:t xml:space="preserve">stating "the refusal belongs to the sandbox gate, which</w:t>
      </w:r>
      <w:r>
        <w:rPr>
          <w:lang w:val="en"/>
        </w:rPr>
        <w:t xml:space="preserve"> </w:t>
      </w:r>
      <w:r>
        <w:rPr>
          <w:lang w:val="en"/>
        </w:rPr>
        <w:t xml:space="preserve">does not exist yet" — i.e. the safety claim was aspirational, not enforced.</w:t>
      </w:r>
      <w:r>
        <w:rPr>
          <w:lang w:val="en"/>
        </w:rPr>
        <w:t xml:space="preserve"> </w:t>
      </w:r>
      <w:r>
        <w:rPr>
          <w:lang w:val="en"/>
        </w:rPr>
        <w:t xml:space="preserve">The gate closes that gap: it now genuinely refuses (naming every offending</w:t>
      </w:r>
      <w:r>
        <w:rPr>
          <w:lang w:val="en"/>
        </w:rPr>
        <w:t xml:space="preserve"> </w:t>
      </w:r>
      <w:r>
        <w:rPr>
          <w:lang w:val="en"/>
        </w:rPr>
        <w:t xml:space="preserve">skill) rather than silently allowing a third-party skill to run with no</w:t>
      </w:r>
      <w:r>
        <w:rPr>
          <w:lang w:val="en"/>
        </w:rPr>
        <w:t xml:space="preserve"> </w:t>
      </w:r>
      <w:r>
        <w:rPr>
          <w:lang w:val="en"/>
        </w:rPr>
        <w:t xml:space="preserve">isolation. If your workflow needs a skill to actually execute today, ship it</w:t>
      </w:r>
      <w:r>
        <w:rPr>
          <w:lang w:val="en"/>
        </w:rPr>
        <w:t xml:space="preserve"> </w:t>
      </w:r>
      <w:r>
        <w:rPr>
          <w:lang w:val="en"/>
        </w:rPr>
        <w:t xml:space="preserve">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vendored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built-in</w:t>
      </w:r>
      <w:r>
        <w:rPr>
          <w:lang w:val="en"/>
        </w:rPr>
        <w:t xml:space="preserve"> </w:t>
      </w:r>
      <w:r>
        <w:rPr>
          <w:lang w:val="en"/>
        </w:rPr>
        <w:t xml:space="preserve">trust tier instead — those do not require a</w:t>
      </w:r>
      <w:r>
        <w:rPr>
          <w:lang w:val="en"/>
        </w:rPr>
        <w:t xml:space="preserve"> </w:t>
      </w:r>
      <w:r>
        <w:rPr>
          <w:lang w:val="en"/>
        </w:rPr>
        <w:t xml:space="preserve">real sandbox executor — and track the real sandbox implementation as separate</w:t>
      </w:r>
      <w:r>
        <w:rPr>
          <w:lang w:val="en"/>
        </w:rPr>
        <w:t xml:space="preserve"> </w:t>
      </w:r>
      <w:r>
        <w:rPr>
          <w:lang w:val="en"/>
        </w:rPr>
        <w:t xml:space="preserve">upstream work.</w:t>
      </w:r>
    </w:p>
    <w:p>
      <w:r>
        <w:pict>
          <v:rect style="width:0;height:1.5pt" o:hralign="center" o:hrstd="t" o:hr="t"/>
        </w:pict>
      </w:r>
    </w:p>
    <w:bookmarkEnd w:id="13"/>
    <w:bookmarkStart w:id="14" w:name="X25c37e080011c7378d6231aaaaebad9efd92000"/>
    <w:p>
      <w:pPr>
        <w:pStyle w:val="Heading3"/>
      </w:pPr>
      <w:r>
        <w:rPr>
          <w:lang w:val="en"/>
        </w:rPr>
        <w:t xml:space="preserve">Q: Where does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explain-arch</w:t>
      </w:r>
      <w:r>
        <w:rPr>
          <w:lang w:val="en"/>
        </w:rPr>
        <w:t xml:space="preserve"> </w:t>
      </w:r>
      <w:r>
        <w:rPr>
          <w:lang w:val="en"/>
        </w:rPr>
        <w:t xml:space="preserve">example skill actually live, and can I use it as a template?</w:t>
      </w:r>
    </w:p>
    <w:p>
      <w:pPr>
        <w:pStyle w:val="FirstParagraph"/>
      </w:pPr>
      <w:r>
        <w:rPr>
          <w:b/>
          <w:bCs/>
          <w:lang w:val="en"/>
        </w:rPr>
        <w:t xml:space="preserve">A: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.helix/skills/explain-arch.md</w:t>
      </w:r>
      <w:r>
        <w:rPr>
          <w:lang w:val="en"/>
        </w:rPr>
        <w:t xml:space="preserve"> </w:t>
      </w:r>
      <w:r>
        <w:rPr>
          <w:lang w:val="en"/>
        </w:rPr>
        <w:t xml:space="preserve">in this repository's root — it is a</w:t>
      </w:r>
      <w:r>
        <w:rPr>
          <w:lang w:val="en"/>
        </w:rPr>
        <w:t xml:space="preserve"> </w:t>
      </w:r>
      <w:r>
        <w:rPr>
          <w:lang w:val="en"/>
        </w:rPr>
        <w:t xml:space="preserve">real, loaded, working skill (project tier, §2 of the manual), not a</w:t>
      </w:r>
      <w:r>
        <w:rPr>
          <w:lang w:val="en"/>
        </w:rPr>
        <w:t xml:space="preserve"> </w:t>
      </w:r>
      <w:r>
        <w:rPr>
          <w:lang w:val="en"/>
        </w:rPr>
        <w:t xml:space="preserve">documentation-only example. Its front-matter trigger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explain (?P&lt;topic&gt;\w+) architecture</w:t>
      </w:r>
      <w:r>
        <w:rPr>
          <w:lang w:val="en"/>
        </w:rPr>
        <w:t xml:space="preserve">; try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explain ensemble architecture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lang w:val="en"/>
        </w:rPr>
        <w:t xml:space="preserve">the TUI and it will substitute an architecture-explanation prompt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topic</w:t>
      </w:r>
      <w:r>
        <w:rPr>
          <w:lang w:val="en"/>
        </w:rPr>
        <w:t xml:space="preserve"> </w:t>
      </w:r>
      <w:r>
        <w:rPr>
          <w:lang w:val="en"/>
        </w:rPr>
        <w:t xml:space="preserve">resolved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ensemble</w:t>
      </w:r>
      <w:r>
        <w:rPr>
          <w:lang w:val="en"/>
        </w:rPr>
        <w:t xml:space="preserve">. Yes, it is a reasonable template for a new</w:t>
      </w:r>
      <w:r>
        <w:rPr>
          <w:lang w:val="en"/>
        </w:rPr>
        <w:t xml:space="preserve"> </w:t>
      </w:r>
      <w:r>
        <w:rPr>
          <w:lang w:val="en"/>
        </w:rPr>
        <w:t xml:space="preserve">project-tier skill — copy the front-matter shape and adjust the trigger regex</w:t>
      </w:r>
      <w:r>
        <w:rPr>
          <w:lang w:val="en"/>
        </w:rPr>
        <w:t xml:space="preserve"> </w:t>
      </w:r>
      <w:r>
        <w:rPr>
          <w:lang w:val="en"/>
        </w:rPr>
        <w:t xml:space="preserve">and body for your use case.</w:t>
      </w:r>
    </w:p>
    <w:p>
      <w:r>
        <w:pict>
          <v:rect style="width:0;height:1.5pt" o:hralign="center" o:hrstd="t" o:hr="t"/>
        </w:pict>
      </w:r>
    </w:p>
    <w:bookmarkEnd w:id="14"/>
    <w:bookmarkStart w:id="15" w:name="Xbb7b1e4c3b44064803c8681808656a5b90fa3fc"/>
    <w:p>
      <w:pPr>
        <w:pStyle w:val="Heading3"/>
      </w:pPr>
      <w:r>
        <w:rPr>
          <w:lang w:val="en"/>
        </w:rPr>
        <w:t xml:space="preserve">Q: Does installing a skill for one project affect other projects?</w:t>
      </w:r>
    </w:p>
    <w:p>
      <w:pPr>
        <w:pStyle w:val="FirstParagraph"/>
      </w:pPr>
      <w:r>
        <w:rPr>
          <w:b/>
          <w:bCs/>
          <w:lang w:val="en"/>
        </w:rPr>
        <w:t xml:space="preserve">A:</w:t>
      </w:r>
      <w:r>
        <w:rPr>
          <w:lang w:val="en"/>
        </w:rPr>
        <w:t xml:space="preserve"> </w:t>
      </w:r>
      <w:r>
        <w:rPr>
          <w:lang w:val="en"/>
        </w:rPr>
        <w:t xml:space="preserve">Only if you install it at a user-level tier (tier 1 or 2 in the</w:t>
      </w:r>
      <w:r>
        <w:rPr>
          <w:lang w:val="en"/>
        </w:rPr>
        <w:t xml:space="preserve"> </w:t>
      </w:r>
      <w:r>
        <w:rPr>
          <w:lang w:val="en"/>
        </w:rPr>
        <w:t xml:space="preserve">manual's directory table) — those are scanned for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lang w:val="en"/>
        </w:rPr>
        <w:t xml:space="preserve">project you open</w:t>
      </w:r>
      <w:r>
        <w:rPr>
          <w:lang w:val="en"/>
        </w:rPr>
        <w:t xml:space="preserve"> </w:t>
      </w:r>
      <w:r>
        <w:rPr>
          <w:lang w:val="en"/>
        </w:rPr>
        <w:t xml:space="preserve">with that front-end. A skill installed at the project tier (</w:t>
      </w:r>
      <w:r>
        <w:rPr>
          <w:rStyle w:val="VerbatimChar"/>
          <w:lang w:val="en"/>
        </w:rPr>
        <w:t xml:space="preserve">.helix/skills/</w:t>
      </w:r>
      <w:r>
        <w:rPr>
          <w:lang w:val="en"/>
        </w:rPr>
        <w:t xml:space="preserve"> </w:t>
      </w:r>
      <w:r>
        <w:rPr>
          <w:lang w:val="en"/>
        </w:rPr>
        <w:t xml:space="preserve">inside a specific project's root) is scoped to that project only, and — being</w:t>
      </w:r>
      <w:r>
        <w:rPr>
          <w:lang w:val="en"/>
        </w:rPr>
        <w:t xml:space="preserve"> </w:t>
      </w:r>
      <w:r>
        <w:rPr>
          <w:lang w:val="en"/>
        </w:rPr>
        <w:t xml:space="preserve">the highest-precedence tier — will override a same-named user-level or</w:t>
      </w:r>
      <w:r>
        <w:rPr>
          <w:lang w:val="en"/>
        </w:rPr>
        <w:t xml:space="preserve"> </w:t>
      </w:r>
      <w:r>
        <w:rPr>
          <w:lang w:val="en"/>
        </w:rPr>
        <w:t xml:space="preserve">external-tier skill just for that project.</w:t>
      </w:r>
    </w:p>
    <w:p>
      <w:r>
        <w:pict>
          <v:rect style="width:0;height:1.5pt" o:hralign="center" o:hrstd="t" o:hr="t"/>
        </w:pict>
      </w:r>
    </w:p>
    <w:bookmarkEnd w:id="15"/>
    <w:bookmarkStart w:id="18" w:name="see-also"/>
    <w:p>
      <w:pPr>
        <w:pStyle w:val="Heading2"/>
      </w:pPr>
      <w:r>
        <w:rPr>
          <w:lang w:val="en"/>
        </w:rPr>
        <w:t xml:space="preserve">See also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VerbatimChar"/>
            <w:lang w:val="en"/>
          </w:rPr>
          <w:t xml:space="preserve">docs/guides/skills_user_manual.md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VerbatimChar"/>
            <w:lang w:val="en"/>
          </w:rPr>
          <w:t xml:space="preserve">docs/CAPABILITIES.md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VerbatimChar"/>
            <w:lang w:val="en"/>
          </w:rPr>
          <w:t xml:space="preserve">docs/guides/skills_directory_migration.md</w:t>
        </w:r>
      </w:hyperlink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CAPABILITIES.md" TargetMode="External" /><Relationship Type="http://schemas.openxmlformats.org/officeDocument/2006/relationships/hyperlink" Id="rId17" Target="skills_directory_migration.md" TargetMode="External" /><Relationship Type="http://schemas.openxmlformats.org/officeDocument/2006/relationships/hyperlink" Id="rId9" Target="skills_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CAPABILITIES.md" TargetMode="External" /><Relationship Type="http://schemas.openxmlformats.org/officeDocument/2006/relationships/hyperlink" Id="rId17" Target="skills_directory_migration.md" TargetMode="External" /><Relationship Type="http://schemas.openxmlformats.org/officeDocument/2006/relationships/hyperlink" Id="rId9" Target="skills_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2026-09-23T01:05:37Z</dcterms:created>
  <dcterms:modified xsi:type="dcterms:W3CDTF">2026-09-23T01:05:37Z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