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documentation-and-export"/>
    <w:p>
      <w:pPr>
        <w:pStyle w:val="Heading1"/>
      </w:pPr>
      <w:r>
        <w:t xml:space="preserve">Documentation And Export</w:t>
      </w:r>
    </w:p>
    <w:bookmarkStart w:id="9" w:name="Xb98cbd2fefd9979417804736ad98fe72d8493d1"/>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9"/>
    <w:bookmarkStart w:id="10" w:name="Xb32ff2375c58bb863e434fd36806fd341b35c51"/>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numPr>
          <w:ilvl w:val="0"/>
          <w:numId w:val="1001"/>
        </w:numPr>
      </w:pPr>
      <w:r>
        <w:rPr>
          <w:b/>
          <w:bCs/>
        </w:rPr>
        <w:t xml:space="preserve">In-source documentation block</w:t>
      </w:r>
      <w:r>
        <w:t xml:space="preserve"> </w:t>
      </w:r>
      <w:r>
        <w:t xml:space="preserve">at the top of the file:</w:t>
      </w:r>
    </w:p>
    <w:p>
      <w:pPr>
        <w:pStyle w:val="Compact"/>
        <w:numPr>
          <w:ilvl w:val="1"/>
          <w:numId w:val="1002"/>
        </w:numPr>
      </w:pPr>
      <w:r>
        <w:t xml:space="preserve">Purpose: one-sentence description of what the script does.</w:t>
      </w:r>
    </w:p>
    <w:p>
      <w:pPr>
        <w:pStyle w:val="Compact"/>
        <w:numPr>
          <w:ilvl w:val="1"/>
          <w:numId w:val="1002"/>
        </w:numPr>
      </w:pPr>
      <w:r>
        <w:t xml:space="preserve">Usage: complete invocation syntax with all flags, env vars,</w:t>
      </w:r>
      <w:r>
        <w:t xml:space="preserve"> </w:t>
      </w:r>
      <w:r>
        <w:t xml:space="preserve">positional arguments, examples.</w:t>
      </w:r>
    </w:p>
    <w:p>
      <w:pPr>
        <w:pStyle w:val="Compact"/>
        <w:numPr>
          <w:ilvl w:val="1"/>
          <w:numId w:val="1002"/>
        </w:numPr>
      </w:pPr>
      <w:r>
        <w:t xml:space="preserve">Inputs: env vars, files read, command-line args, stdin.</w:t>
      </w:r>
    </w:p>
    <w:p>
      <w:pPr>
        <w:pStyle w:val="Compact"/>
        <w:numPr>
          <w:ilvl w:val="1"/>
          <w:numId w:val="1002"/>
        </w:numPr>
      </w:pPr>
      <w:r>
        <w:t xml:space="preserve">Outputs: files written, stdout/stderr behaviour, exit codes.</w:t>
      </w:r>
    </w:p>
    <w:p>
      <w:pPr>
        <w:pStyle w:val="Compact"/>
        <w:numPr>
          <w:ilvl w:val="1"/>
          <w:numId w:val="1002"/>
        </w:numPr>
      </w:pPr>
      <w:r>
        <w:t xml:space="preserve">Side-effects: anything that changes system state outside the</w:t>
      </w:r>
      <w:r>
        <w:t xml:space="preserve"> </w:t>
      </w:r>
      <w:r>
        <w:t xml:space="preserve">script's own scratch directory.</w:t>
      </w:r>
    </w:p>
    <w:p>
      <w:pPr>
        <w:pStyle w:val="Compact"/>
        <w:numPr>
          <w:ilvl w:val="1"/>
          <w:numId w:val="1002"/>
        </w:numPr>
      </w:pPr>
      <w:r>
        <w:t xml:space="preserve">Dependencies: required commands (and how to install them) +</w:t>
      </w:r>
      <w:r>
        <w:t xml:space="preserve"> </w:t>
      </w:r>
      <w:r>
        <w:t xml:space="preserve">required system state (e.g., "must be run as root", "must run</w:t>
      </w:r>
      <w:r>
        <w:t xml:space="preserve"> </w:t>
      </w:r>
      <w:r>
        <w:t xml:space="preserve">from project root").</w:t>
      </w:r>
    </w:p>
    <w:p>
      <w:pPr>
        <w:pStyle w:val="Compact"/>
        <w:numPr>
          <w:ilvl w:val="1"/>
          <w:numId w:val="1002"/>
        </w:numPr>
      </w:pPr>
      <w:r>
        <w:t xml:space="preserve">Cross-references: companion guides under</w:t>
      </w:r>
      <w:r>
        <w:t xml:space="preserve"> </w:t>
      </w:r>
      <w:r>
        <w:rPr>
          <w:rStyle w:val="VerbatimChar"/>
        </w:rPr>
        <w:t xml:space="preserve">docs/</w:t>
      </w:r>
      <w:r>
        <w:t xml:space="preserve">.</w:t>
      </w:r>
    </w:p>
    <w:p>
      <w:pPr>
        <w:numPr>
          <w:ilvl w:val="0"/>
          <w:numId w:val="1001"/>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03"/>
        </w:numPr>
      </w:pPr>
      <w:r>
        <w:rPr>
          <w:b/>
          <w:bCs/>
        </w:rPr>
        <w:t xml:space="preserve">Overview</w:t>
      </w:r>
      <w:r>
        <w:t xml:space="preserve"> </w:t>
      </w:r>
      <w:r>
        <w:t xml:space="preserve">— what the script does in plain English.</w:t>
      </w:r>
    </w:p>
    <w:p>
      <w:pPr>
        <w:pStyle w:val="Compact"/>
        <w:numPr>
          <w:ilvl w:val="1"/>
          <w:numId w:val="1003"/>
        </w:numPr>
      </w:pPr>
      <w:r>
        <w:rPr>
          <w:b/>
          <w:bCs/>
        </w:rPr>
        <w:t xml:space="preserve">Prerequisites</w:t>
      </w:r>
      <w:r>
        <w:t xml:space="preserve"> </w:t>
      </w:r>
      <w:r>
        <w:t xml:space="preserve">— environment + dependencies.</w:t>
      </w:r>
    </w:p>
    <w:p>
      <w:pPr>
        <w:pStyle w:val="Compact"/>
        <w:numPr>
          <w:ilvl w:val="1"/>
          <w:numId w:val="1003"/>
        </w:numPr>
      </w:pPr>
      <w:r>
        <w:rPr>
          <w:b/>
          <w:bCs/>
        </w:rPr>
        <w:t xml:space="preserve">Usage examples</w:t>
      </w:r>
      <w:r>
        <w:t xml:space="preserve"> </w:t>
      </w:r>
      <w:r>
        <w:t xml:space="preserve">— copy-paste recipes for the common cases.</w:t>
      </w:r>
    </w:p>
    <w:p>
      <w:pPr>
        <w:pStyle w:val="Compact"/>
        <w:numPr>
          <w:ilvl w:val="1"/>
          <w:numId w:val="1003"/>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03"/>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03"/>
        </w:numPr>
      </w:pPr>
      <w:r>
        <w:rPr>
          <w:b/>
          <w:bCs/>
        </w:rPr>
        <w:t xml:space="preserve">Related scripts</w:t>
      </w:r>
      <w:r>
        <w:t xml:space="preserve"> </w:t>
      </w:r>
      <w:r>
        <w:t xml:space="preserve">— companion scripts and how they compose.</w:t>
      </w:r>
    </w:p>
    <w:p>
      <w:pPr>
        <w:pStyle w:val="Compact"/>
        <w:numPr>
          <w:ilvl w:val="1"/>
          <w:numId w:val="1003"/>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10"/>
    <w:bookmarkStart w:id="11" w:name="Xb6397fef0c7ceddda38e26aa1f995404bc33441"/>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04"/>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05"/>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05"/>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05"/>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04"/>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w:t>
      </w:r>
      <w:r>
        <w:t xml:space="preserve">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04"/>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w:t>
      </w:r>
      <w:r>
        <w:t xml:space="preserve">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04"/>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p>
    <w:p>
      <w:pPr>
        <w:pStyle w:val="Compact"/>
        <w:numPr>
          <w:ilvl w:val="0"/>
          <w:numId w:val="1006"/>
        </w:numPr>
      </w:pPr>
      <w:r>
        <w:rPr>
          <w:rStyle w:val="VerbatimChar"/>
        </w:rPr>
        <w:t xml:space="preserve">docs/Fixed_Summary.md</w:t>
      </w:r>
      <w:r>
        <w:t xml:space="preserve"> </w:t>
      </w:r>
      <w:r>
        <w:t xml:space="preserve">exists.</w:t>
      </w:r>
    </w:p>
    <w:p>
      <w:pPr>
        <w:pStyle w:val="Compact"/>
        <w:numPr>
          <w:ilvl w:val="0"/>
          <w:numId w:val="1006"/>
        </w:numPr>
      </w:pP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p>
    <w:p>
      <w:pPr>
        <w:pStyle w:val="Compact"/>
        <w:numPr>
          <w:ilvl w:val="0"/>
          <w:numId w:val="1006"/>
        </w:numPr>
      </w:pPr>
      <w:r>
        <w:rPr>
          <w:rStyle w:val="VerbatimChar"/>
        </w:rPr>
        <w:t xml:space="preserve">mtime(Fixed_Summary.md) &gt;= mtime(Fixed.md)</w:t>
      </w:r>
      <w:r>
        <w:t xml:space="preserve"> </w:t>
      </w:r>
      <w:r>
        <w:t xml:space="preserve">(regenerated after</w:t>
      </w:r>
      <w:r>
        <w:t xml:space="preserve"> </w:t>
      </w:r>
      <w:r>
        <w:t xml:space="preserve">Fixed.md edits).</w:t>
      </w:r>
    </w:p>
    <w:p>
      <w:pPr>
        <w:pStyle w:val="Compact"/>
        <w:numPr>
          <w:ilvl w:val="0"/>
          <w:numId w:val="1006"/>
        </w:numPr>
      </w:pPr>
      <w:r>
        <w:t xml:space="preserve">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p>
    <w:p>
      <w:pPr>
        <w:pStyle w:val="Compact"/>
        <w:numPr>
          <w:ilvl w:val="0"/>
          <w:numId w:val="1006"/>
        </w:numPr>
      </w:pPr>
      <w:r>
        <w:t xml:space="preserve">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p>
    <w:p>
      <w:pPr>
        <w:pStyle w:val="Compact"/>
        <w:numPr>
          <w:ilvl w:val="0"/>
          <w:numId w:val="1006"/>
        </w:numPr>
      </w:pPr>
      <w:r>
        <w:t xml:space="preserve">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FirstParagraph"/>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 hazard §11.4 forbids</w:t>
      </w:r>
      <w:r>
        <w:t xml:space="preserve"> </w:t>
      </w:r>
      <w:r>
        <w:t xml:space="preserve">— an operator reading Issues_Summary can no longer answer "where is</w:t>
      </w:r>
      <w:r>
        <w:t xml:space="preserve"> </w:t>
      </w:r>
      <w:r>
        <w:t xml:space="preserve">item X now?" by cross-referencing Fixed_Summary because the schemas</w:t>
      </w:r>
      <w:r>
        <w:t xml:space="preserve"> </w:t>
      </w:r>
      <w:r>
        <w:t xml:space="preserve">diverge. Non-compliance is a release blocker regardless of context.</w:t>
      </w:r>
    </w:p>
    <w:bookmarkEnd w:id="11"/>
    <w:bookmarkStart w:id="12" w:name="X3a951fcf7467f6eeb4b182adc80af5ecb98d7fe"/>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07"/>
        </w:numPr>
      </w:pPr>
      <w:r>
        <w:t xml:space="preserve">The active issue tracker (</w:t>
      </w:r>
      <w:r>
        <w:rPr>
          <w:rStyle w:val="VerbatimChar"/>
        </w:rPr>
        <w:t xml:space="preserve">docs/Issues.md</w:t>
      </w:r>
      <w:r>
        <w:t xml:space="preserve"> </w:t>
      </w:r>
      <w:r>
        <w:t xml:space="preserve">in a consuming project's layout;</w:t>
      </w:r>
      <w:r>
        <w:t xml:space="preserve"> </w:t>
      </w:r>
      <w:r>
        <w:t xml:space="preserve">the project's equivalent file elsewhere) and its HTML + PDF exports.</w:t>
      </w:r>
    </w:p>
    <w:p>
      <w:pPr>
        <w:pStyle w:val="Compact"/>
        <w:numPr>
          <w:ilvl w:val="0"/>
          <w:numId w:val="1007"/>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07"/>
        </w:numPr>
      </w:pPr>
      <w:r>
        <w:t xml:space="preserve">The fixed-bug archive (</w:t>
      </w:r>
      <w:r>
        <w:rPr>
          <w:rStyle w:val="VerbatimChar"/>
        </w:rPr>
        <w:t xml:space="preserve">docs/Fixed.md</w:t>
      </w:r>
      <w:r>
        <w:t xml:space="preserve">) and its HTML + PDF exports.</w:t>
      </w:r>
    </w:p>
    <w:p>
      <w:pPr>
        <w:pStyle w:val="Compact"/>
        <w:numPr>
          <w:ilvl w:val="0"/>
          <w:numId w:val="1007"/>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07"/>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07"/>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08"/>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08"/>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08"/>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08"/>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08"/>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w:t>
      </w:r>
      <w:r>
        <w:t xml:space="preserve">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09"/>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 consuming project's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12"/>
    <w:bookmarkStart w:id="13" w:name="X79e67613af41b074610421f2325de4adeb24ee8"/>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10"/>
        </w:numPr>
      </w:pPr>
      <w:r>
        <w:t xml:space="preserve">Operator-blocked / Blocker</w:t>
      </w:r>
    </w:p>
    <w:p>
      <w:pPr>
        <w:pStyle w:val="Compact"/>
        <w:numPr>
          <w:ilvl w:val="0"/>
          <w:numId w:val="1010"/>
        </w:numPr>
      </w:pPr>
      <w:r>
        <w:t xml:space="preserve">In testing</w:t>
      </w:r>
    </w:p>
    <w:p>
      <w:pPr>
        <w:pStyle w:val="Compact"/>
        <w:numPr>
          <w:ilvl w:val="0"/>
          <w:numId w:val="1010"/>
        </w:numPr>
      </w:pPr>
      <w:r>
        <w:t xml:space="preserve">Ready for testing</w:t>
      </w:r>
    </w:p>
    <w:p>
      <w:pPr>
        <w:pStyle w:val="Compact"/>
        <w:numPr>
          <w:ilvl w:val="0"/>
          <w:numId w:val="1010"/>
        </w:numPr>
      </w:pPr>
      <w:r>
        <w:t xml:space="preserve">In progress</w:t>
      </w:r>
    </w:p>
    <w:p>
      <w:pPr>
        <w:pStyle w:val="Compact"/>
        <w:numPr>
          <w:ilvl w:val="0"/>
          <w:numId w:val="1010"/>
        </w:numPr>
      </w:pPr>
      <w:r>
        <w:t xml:space="preserve">Reopened</w:t>
      </w:r>
    </w:p>
    <w:p>
      <w:pPr>
        <w:pStyle w:val="Compact"/>
        <w:numPr>
          <w:ilvl w:val="0"/>
          <w:numId w:val="1010"/>
        </w:numPr>
      </w:pPr>
      <w:r>
        <w:t xml:space="preserve">Queued</w:t>
      </w:r>
    </w:p>
    <w:p>
      <w:pPr>
        <w:pStyle w:val="Compact"/>
        <w:numPr>
          <w:ilvl w:val="0"/>
          <w:numId w:val="1010"/>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11"/>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13"/>
    <w:bookmarkStart w:id="14" w:name="X7d465818849afbaadcb8834f4307e6b66d18210"/>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12"/>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12"/>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 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p>
    <w:p>
      <w:pPr>
        <w:pStyle w:val="Compact"/>
        <w:numPr>
          <w:ilvl w:val="0"/>
          <w:numId w:val="1013"/>
        </w:numPr>
      </w:pP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p>
    <w:p>
      <w:pPr>
        <w:pStyle w:val="Compact"/>
        <w:numPr>
          <w:ilvl w:val="0"/>
          <w:numId w:val="1013"/>
        </w:numPr>
      </w:pPr>
      <w:r>
        <w:rPr>
          <w:rStyle w:val="VerbatimChar"/>
        </w:rPr>
        <w:t xml:space="preserve">.git/hooks/pre-commit</w:t>
      </w:r>
      <w:r>
        <w:t xml:space="preserve"> </w:t>
      </w:r>
      <w:r>
        <w:t xml:space="preserve">— automatic entry point; walks staged</w:t>
      </w:r>
      <w:r>
        <w:t xml:space="preserve"> </w:t>
      </w:r>
      <w:r>
        <w:t xml:space="preserve">IN-scope docs, calls the bump for each, re-stages.</w:t>
      </w:r>
    </w:p>
    <w:p>
      <w:pPr>
        <w:pStyle w:val="Compact"/>
        <w:numPr>
          <w:ilvl w:val="0"/>
          <w:numId w:val="1013"/>
        </w:numPr>
      </w:pP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p>
    <w:p>
      <w:pPr>
        <w:pStyle w:val="Compact"/>
        <w:numPr>
          <w:ilvl w:val="0"/>
          <w:numId w:val="1013"/>
        </w:numPr>
      </w:pP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FirstParagraph"/>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14"/>
    <w:bookmarkStart w:id="15" w:name="Xaf9460f16813885dfb0960a8eb49f9142e1765a"/>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14"/>
        </w:numPr>
      </w:pPr>
      <w:r>
        <w:t xml:space="preserve">MUST exist when a domain integration is non-trivial (more than</w:t>
      </w:r>
      <w:r>
        <w:t xml:space="preserve"> </w:t>
      </w:r>
      <w:r>
        <w:t xml:space="preserve">one fix / test / gate landing for that integration).</w:t>
      </w:r>
    </w:p>
    <w:p>
      <w:pPr>
        <w:pStyle w:val="Compact"/>
        <w:numPr>
          <w:ilvl w:val="0"/>
          <w:numId w:val="1014"/>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14"/>
        </w:numPr>
      </w:pPr>
      <w:r>
        <w:t xml:space="preserve">MUST be auto-synced (HTML + PDF) on every related-test-cycle</w:t>
      </w:r>
      <w:r>
        <w:t xml:space="preserve"> </w:t>
      </w:r>
      <w:r>
        <w:t xml:space="preserve">completion AND every fix touching the integration. "Auto-synced"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14"/>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14"/>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14"/>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14"/>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14"/>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14"/>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14"/>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15"/>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15"/>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15"/>
    <w:bookmarkStart w:id="16" w:name="X74d4f937d896d8fad08d0d8147ead90adf85f13"/>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p>
    <w:p>
      <w:pPr>
        <w:pStyle w:val="Compact"/>
        <w:numPr>
          <w:ilvl w:val="0"/>
          <w:numId w:val="1016"/>
        </w:numPr>
      </w:pPr>
      <w:r>
        <w:t xml:space="preserve">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FirstParagraph"/>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p>
    <w:p>
      <w:pPr>
        <w:pStyle w:val="Compact"/>
        <w:numPr>
          <w:ilvl w:val="0"/>
          <w:numId w:val="1017"/>
        </w:numPr>
      </w:pPr>
      <w:r>
        <w:t xml:space="preserve">§11.4.12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p>
    <w:p>
      <w:pPr>
        <w:pStyle w:val="Compact"/>
        <w:numPr>
          <w:ilvl w:val="0"/>
          <w:numId w:val="1017"/>
        </w:numPr>
      </w:pPr>
      <w:r>
        <w:t xml:space="preserve">§11.4.19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p>
    <w:p>
      <w:pPr>
        <w:pStyle w:val="Compact"/>
        <w:numPr>
          <w:ilvl w:val="0"/>
          <w:numId w:val="1017"/>
        </w:numPr>
      </w:pPr>
      <w:r>
        <w:t xml:space="preserve">§11.4.23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p>
    <w:p>
      <w:pPr>
        <w:pStyle w:val="Compact"/>
        <w:numPr>
          <w:ilvl w:val="0"/>
          <w:numId w:val="1017"/>
        </w:numPr>
      </w:pPr>
      <w:r>
        <w:t xml:space="preserve">§11.4.33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p>
    <w:p>
      <w:pPr>
        <w:pStyle w:val="Compact"/>
        <w:numPr>
          <w:ilvl w:val="0"/>
          <w:numId w:val="1017"/>
        </w:numPr>
      </w:pPr>
      <w:r>
        <w:t xml:space="preserve">§11.4.44 — revision-header mandate applies to</w:t>
      </w:r>
      <w:r>
        <w:t xml:space="preserve"> </w:t>
      </w:r>
      <w:r>
        <w:rPr>
          <w:rStyle w:val="VerbatimChar"/>
        </w:rPr>
        <w:t xml:space="preserve">Fixed_Summary.md</w:t>
      </w:r>
      <w:r>
        <w:t xml:space="preserve"> </w:t>
      </w:r>
      <w:r>
        <w:t xml:space="preserve">exactly as it applies to every other tracked Markdown doc.</w:t>
      </w:r>
    </w:p>
    <w:p>
      <w:pPr>
        <w:pStyle w:val="Compact"/>
        <w:numPr>
          <w:ilvl w:val="0"/>
          <w:numId w:val="1017"/>
        </w:numPr>
      </w:pPr>
      <w:r>
        <w:t xml:space="preserve">§12.10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FirstParagraph"/>
      </w:pPr>
      <w:r>
        <w:rPr>
          <w:b/>
          <w:bCs/>
        </w:rPr>
        <w:t xml:space="preserve">Pre-build gates:</w:t>
      </w:r>
    </w:p>
    <w:p>
      <w:pPr>
        <w:numPr>
          <w:ilvl w:val="0"/>
          <w:numId w:val="1018"/>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018"/>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019"/>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019"/>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019"/>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 "like all other docs:</w:t>
      </w:r>
      <w:r>
        <w:t xml:space="preserve"> </w:t>
      </w:r>
      <w:r>
        <w:t xml:space="preserve">ALWAYS in sync and up to date and ALWAYS exported into the PDF and</w:t>
      </w:r>
      <w:r>
        <w:t xml:space="preserve"> </w:t>
      </w:r>
      <w:r>
        <w:t xml:space="preserve">HTML". A divergent Fixed_Summary breaks operator + AI-agent ability</w:t>
      </w:r>
      <w:r>
        <w:t xml:space="preserve"> </w:t>
      </w:r>
      <w:r>
        <w:t xml:space="preserve">to discover what is fixed vs what is still open — and that breakage</w:t>
      </w:r>
      <w:r>
        <w:t xml:space="preserve"> </w:t>
      </w:r>
      <w:r>
        <w:t xml:space="preserve">IS the §11.4 "tests pass but reality differs" 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16"/>
    <w:bookmarkStart w:id="17" w:name="Xbd024cd53f1c8f3b5043d0b46be7a0120e7339f"/>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020"/>
        </w:numPr>
      </w:pPr>
      <w:r>
        <w:rPr>
          <w:b/>
          <w:bCs/>
        </w:rPr>
        <w:t xml:space="preserve">Revision header</w:t>
      </w:r>
      <w:r>
        <w:t xml:space="preserve"> </w:t>
      </w:r>
      <w:r>
        <w:t xml:space="preserve">per §11.4.44.</w:t>
      </w:r>
    </w:p>
    <w:p>
      <w:pPr>
        <w:pStyle w:val="Compact"/>
        <w:numPr>
          <w:ilvl w:val="0"/>
          <w:numId w:val="1020"/>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021"/>
        </w:numPr>
      </w:pPr>
      <w:r>
        <w:t xml:space="preserve">Plain-language summary of current state (1-3 paragraphs).</w:t>
      </w:r>
    </w:p>
    <w:p>
      <w:pPr>
        <w:pStyle w:val="Compact"/>
        <w:numPr>
          <w:ilvl w:val="1"/>
          <w:numId w:val="1021"/>
        </w:numPr>
      </w:pPr>
      <w:r>
        <w:rPr>
          <w:b/>
          <w:bCs/>
        </w:rPr>
        <w:t xml:space="preserve">What works</w:t>
      </w:r>
      <w:r>
        <w:t xml:space="preserve"> </w:t>
      </w:r>
      <w:r>
        <w:t xml:space="preserve">(1-3 bullets, end-user-visible behaviour).</w:t>
      </w:r>
    </w:p>
    <w:p>
      <w:pPr>
        <w:pStyle w:val="Compact"/>
        <w:numPr>
          <w:ilvl w:val="1"/>
          <w:numId w:val="1021"/>
        </w:numPr>
      </w:pPr>
      <w:r>
        <w:rPr>
          <w:b/>
          <w:bCs/>
        </w:rPr>
        <w:t xml:space="preserve">What's broken or pending</w:t>
      </w:r>
      <w:r>
        <w:t xml:space="preserve"> </w:t>
      </w:r>
      <w:r>
        <w:t xml:space="preserve">(1-3 bullets).</w:t>
      </w:r>
    </w:p>
    <w:p>
      <w:pPr>
        <w:pStyle w:val="Compact"/>
        <w:numPr>
          <w:ilvl w:val="1"/>
          <w:numId w:val="1021"/>
        </w:numPr>
      </w:pPr>
      <w:r>
        <w:rPr>
          <w:b/>
          <w:bCs/>
        </w:rPr>
        <w:t xml:space="preserve">Operator / team actions</w:t>
      </w:r>
      <w:r>
        <w:t xml:space="preserve"> </w:t>
      </w:r>
      <w:r>
        <w:t xml:space="preserve">if any.</w:t>
      </w:r>
    </w:p>
    <w:p>
      <w:pPr>
        <w:pStyle w:val="Compact"/>
        <w:numPr>
          <w:ilvl w:val="1"/>
          <w:numId w:val="1021"/>
        </w:numPr>
      </w:pPr>
      <w:r>
        <w:t xml:space="preserve">NO code references, NO §-letter jargon, NO captured-evidence</w:t>
      </w:r>
      <w:r>
        <w:t xml:space="preserve"> </w:t>
      </w:r>
      <w:r>
        <w:t xml:space="preserve">file paths, NO gate / mutation names.</w:t>
      </w:r>
    </w:p>
    <w:p>
      <w:pPr>
        <w:pStyle w:val="Compact"/>
        <w:numPr>
          <w:ilvl w:val="0"/>
          <w:numId w:val="1020"/>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022"/>
        </w:numPr>
      </w:pPr>
      <w:r>
        <w:t xml:space="preserve">§-letter references, gate names, commit hashes, captured-</w:t>
      </w:r>
      <w:r>
        <w:t xml:space="preserve"> </w:t>
      </w:r>
      <w:r>
        <w:t xml:space="preserve">evidence file paths.</w:t>
      </w:r>
    </w:p>
    <w:p>
      <w:pPr>
        <w:pStyle w:val="Compact"/>
        <w:numPr>
          <w:ilvl w:val="1"/>
          <w:numId w:val="1022"/>
        </w:numPr>
      </w:pPr>
      <w:r>
        <w:t xml:space="preserve">Cross-references to Issues.md / Fixed.md items by ATM-NNN</w:t>
      </w:r>
      <w:r>
        <w:t xml:space="preserve"> </w:t>
      </w:r>
      <w:r>
        <w:t xml:space="preserve">(§11.4.54).</w:t>
      </w:r>
    </w:p>
    <w:p>
      <w:pPr>
        <w:pStyle w:val="Compact"/>
        <w:numPr>
          <w:ilvl w:val="0"/>
          <w:numId w:val="1020"/>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020"/>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w:t>
      </w:r>
      <w:r>
        <w:t xml:space="preserve">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023"/>
        </w:numPr>
      </w:pPr>
      <w:r>
        <w:t xml:space="preserve">§11.4.45 (Status.md per integration) — Status_Summary.md</w:t>
      </w:r>
      <w:r>
        <w:t xml:space="preserve"> </w:t>
      </w:r>
      <w:r>
        <w:t xml:space="preserve">COMPLEMENTS, never replaces. Both files exist together.</w:t>
      </w:r>
    </w:p>
    <w:p>
      <w:pPr>
        <w:pStyle w:val="Compact"/>
        <w:numPr>
          <w:ilvl w:val="0"/>
          <w:numId w:val="1023"/>
        </w:numPr>
      </w:pPr>
      <w:r>
        <w:t xml:space="preserve">§11.4.12 + §11.4.53 (parity discipline) — Status_Summary follows</w:t>
      </w:r>
      <w:r>
        <w:t xml:space="preserve"> </w:t>
      </w:r>
      <w:r>
        <w:t xml:space="preserve">the same regeneration / HTML+PDF / mtime-alignment pattern.</w:t>
      </w:r>
    </w:p>
    <w:p>
      <w:pPr>
        <w:pStyle w:val="Compact"/>
        <w:numPr>
          <w:ilvl w:val="0"/>
          <w:numId w:val="1023"/>
        </w:numPr>
      </w:pPr>
      <w:r>
        <w:t xml:space="preserve">§11.4.44 (revision header) — applies to Status_Summary.md.</w:t>
      </w:r>
    </w:p>
    <w:p>
      <w:pPr>
        <w:pStyle w:val="Compact"/>
        <w:numPr>
          <w:ilvl w:val="0"/>
          <w:numId w:val="1023"/>
        </w:numPr>
      </w:pPr>
      <w:r>
        <w:t xml:space="preserve">§11.4.23 (colorizer) — Status_Summary.html receives the same</w:t>
      </w:r>
      <w:r>
        <w:t xml:space="preserve"> </w:t>
      </w:r>
      <w:r>
        <w:t xml:space="preserve">type/status visual cues if it embeds tracked-item references.</w:t>
      </w:r>
    </w:p>
    <w:p>
      <w:pPr>
        <w:pStyle w:val="Compact"/>
        <w:numPr>
          <w:ilvl w:val="0"/>
          <w:numId w:val="1023"/>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024"/>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024"/>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024"/>
        </w:numPr>
      </w:pPr>
      <w:r>
        <w:rPr>
          <w:rStyle w:val="VerbatimChar"/>
        </w:rPr>
        <w:t xml:space="preserve">CM-STATUS-SUMMARY-REVISION-HEADER</w:t>
      </w:r>
      <w:r>
        <w:t xml:space="preserve"> </w:t>
      </w:r>
      <w:r>
        <w:t xml:space="preserve">— §11.4.44 header present.</w:t>
      </w:r>
    </w:p>
    <w:p>
      <w:pPr>
        <w:pStyle w:val="Compact"/>
        <w:numPr>
          <w:ilvl w:val="0"/>
          <w:numId w:val="1024"/>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025"/>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025"/>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025"/>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17"/>
    <w:bookmarkStart w:id="18" w:name="Xdbae00fe5307794576ba16b65b8d1fc0e787dff"/>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026"/>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026"/>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026"/>
        </w:numPr>
      </w:pPr>
      <w:r>
        <w:rPr>
          <w:rStyle w:val="VerbatimChar"/>
        </w:rPr>
        <w:t xml:space="preserve">CONTINUATION.md</w:t>
      </w:r>
      <w:r>
        <w:t xml:space="preserve"> </w:t>
      </w:r>
      <w:r>
        <w:t xml:space="preserve">(§12.10).</w:t>
      </w:r>
    </w:p>
    <w:p>
      <w:pPr>
        <w:pStyle w:val="Compact"/>
        <w:numPr>
          <w:ilvl w:val="0"/>
          <w:numId w:val="1026"/>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027"/>
        </w:numPr>
      </w:pPr>
      <w:r>
        <w:t xml:space="preserve">Scans the canonical doc paths.</w:t>
      </w:r>
    </w:p>
    <w:p>
      <w:pPr>
        <w:pStyle w:val="Compact"/>
        <w:numPr>
          <w:ilvl w:val="0"/>
          <w:numId w:val="1027"/>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027"/>
        </w:numPr>
      </w:pPr>
      <w:r>
        <w:t xml:space="preserve">Renders the markdown table with current values.</w:t>
      </w:r>
    </w:p>
    <w:p>
      <w:pPr>
        <w:pStyle w:val="Compact"/>
        <w:numPr>
          <w:ilvl w:val="0"/>
          <w:numId w:val="1027"/>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028"/>
        </w:numPr>
      </w:pPr>
      <w:r>
        <w:t xml:space="preserve">§11.4.12 + §11.4.19 + §11.4.53 (Issues / Issues_Summary / Fixed</w:t>
      </w:r>
      <w:r>
        <w:t xml:space="preserve"> </w:t>
      </w:r>
      <w:r>
        <w:t xml:space="preserve">/ Fixed_Summary parity) — README links to all four.</w:t>
      </w:r>
    </w:p>
    <w:p>
      <w:pPr>
        <w:pStyle w:val="Compact"/>
        <w:numPr>
          <w:ilvl w:val="0"/>
          <w:numId w:val="1028"/>
        </w:numPr>
      </w:pPr>
      <w:r>
        <w:t xml:space="preserve">§11.4.44 (revision header) — README pulls Revision +</w:t>
      </w:r>
      <w:r>
        <w:t xml:space="preserve"> </w:t>
      </w:r>
      <w:r>
        <w:t xml:space="preserve">Last modified from each doc's header.</w:t>
      </w:r>
    </w:p>
    <w:p>
      <w:pPr>
        <w:pStyle w:val="Compact"/>
        <w:numPr>
          <w:ilvl w:val="0"/>
          <w:numId w:val="1028"/>
        </w:numPr>
      </w:pPr>
      <w:r>
        <w:t xml:space="preserve">§11.4.45 (Status.md) + §11.4.56 (Status_Summary.md) — README</w:t>
      </w:r>
      <w:r>
        <w:t xml:space="preserve"> </w:t>
      </w:r>
      <w:r>
        <w:t xml:space="preserve">enumerates every Status pair.</w:t>
      </w:r>
    </w:p>
    <w:p>
      <w:pPr>
        <w:pStyle w:val="Compact"/>
        <w:numPr>
          <w:ilvl w:val="0"/>
          <w:numId w:val="1028"/>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029"/>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029"/>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029"/>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029"/>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030"/>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030"/>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030"/>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030"/>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18"/>
    <w:bookmarkStart w:id="20" w:name="Xd41d9e604ebd82e0ef0c447276841d262f1d61a"/>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031"/>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031"/>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031"/>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031"/>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031"/>
        </w:numPr>
      </w:pPr>
      <w:r>
        <w:rPr>
          <w:b/>
          <w:bCs/>
        </w:rPr>
        <w:t xml:space="preserve">Contain a Documentation Map section</w:t>
      </w:r>
      <w:r>
        <w:t xml:space="preserve"> </w:t>
      </w:r>
      <w:r>
        <w:t xml:space="preserve">linking to every Status.md</w:t>
      </w:r>
    </w:p>
    <w:p>
      <w:pPr>
        <w:pStyle w:val="Compact"/>
        <w:numPr>
          <w:ilvl w:val="1"/>
          <w:numId w:val="1032"/>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031"/>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20"/>
    <w:bookmarkStart w:id="21" w:name="X8de88a59dfe1697bdcf49e60d7999af62ecb8af"/>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 "one</w:t>
      </w:r>
      <w:r>
        <w:t xml:space="preserve"> </w:t>
      </w:r>
      <w:r>
        <w:t xml:space="preserve">per-class gate silently disabled while operator reads a divergent</w:t>
      </w:r>
      <w:r>
        <w:t xml:space="preserve"> </w:t>
      </w:r>
      <w:r>
        <w:t xml:space="preserve">HTML/PDF" 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033"/>
        </w:numPr>
      </w:pPr>
      <w:r>
        <w:rPr>
          <w:rStyle w:val="VerbatimChar"/>
        </w:rPr>
        <w:t xml:space="preserve">docs/Issues.md</w:t>
      </w:r>
      <w:r>
        <w:t xml:space="preserve"> </w:t>
      </w:r>
      <w:r>
        <w:t xml:space="preserve">— open-item tracker (§11.4.12 + §11.4.15 + §11.4.16)</w:t>
      </w:r>
    </w:p>
    <w:p>
      <w:pPr>
        <w:pStyle w:val="Compact"/>
        <w:numPr>
          <w:ilvl w:val="0"/>
          <w:numId w:val="1033"/>
        </w:numPr>
      </w:pPr>
      <w:r>
        <w:rPr>
          <w:rStyle w:val="VerbatimChar"/>
        </w:rPr>
        <w:t xml:space="preserve">docs/Issues_Summary.md</w:t>
      </w:r>
      <w:r>
        <w:t xml:space="preserve"> </w:t>
      </w:r>
      <w:r>
        <w:t xml:space="preserve">— auto-generated short form (§11.4.12)</w:t>
      </w:r>
    </w:p>
    <w:p>
      <w:pPr>
        <w:pStyle w:val="Compact"/>
        <w:numPr>
          <w:ilvl w:val="0"/>
          <w:numId w:val="1033"/>
        </w:numPr>
      </w:pPr>
      <w:r>
        <w:rPr>
          <w:rStyle w:val="VerbatimChar"/>
        </w:rPr>
        <w:t xml:space="preserve">docs/Fixed.md</w:t>
      </w:r>
      <w:r>
        <w:t xml:space="preserve"> </w:t>
      </w:r>
      <w:r>
        <w:t xml:space="preserve">— closed-item archive (§11.4.53)</w:t>
      </w:r>
    </w:p>
    <w:p>
      <w:pPr>
        <w:pStyle w:val="Compact"/>
        <w:numPr>
          <w:ilvl w:val="0"/>
          <w:numId w:val="1033"/>
        </w:numPr>
      </w:pPr>
      <w:r>
        <w:rPr>
          <w:rStyle w:val="VerbatimChar"/>
        </w:rPr>
        <w:t xml:space="preserve">docs/Fixed_Summary.md</w:t>
      </w:r>
      <w:r>
        <w:t xml:space="preserve"> </w:t>
      </w:r>
      <w:r>
        <w:t xml:space="preserve">— auto-generated short form (§11.4.53)</w:t>
      </w:r>
    </w:p>
    <w:p>
      <w:pPr>
        <w:pStyle w:val="Compact"/>
        <w:numPr>
          <w:ilvl w:val="0"/>
          <w:numId w:val="1033"/>
        </w:numPr>
      </w:pPr>
      <w:r>
        <w:rPr>
          <w:rStyle w:val="VerbatimChar"/>
        </w:rPr>
        <w:t xml:space="preserve">docs/CONTINUATION.md</w:t>
      </w:r>
      <w:r>
        <w:t xml:space="preserve"> </w:t>
      </w:r>
      <w:r>
        <w:t xml:space="preserve">— resumption handoff (§12.10)</w:t>
      </w:r>
    </w:p>
    <w:p>
      <w:pPr>
        <w:pStyle w:val="Compact"/>
        <w:numPr>
          <w:ilvl w:val="0"/>
          <w:numId w:val="1033"/>
        </w:numPr>
      </w:pPr>
      <w:r>
        <w:rPr>
          <w:rStyle w:val="VerbatimChar"/>
        </w:rPr>
        <w:t xml:space="preserve">README.md</w:t>
      </w:r>
      <w:r>
        <w:t xml:space="preserve"> </w:t>
      </w:r>
      <w:r>
        <w:t xml:space="preserve">— project overview + doc-link index (§11.4.57 + §11.4.59)</w:t>
      </w:r>
    </w:p>
    <w:p>
      <w:pPr>
        <w:pStyle w:val="Compact"/>
        <w:numPr>
          <w:ilvl w:val="0"/>
          <w:numId w:val="1033"/>
        </w:numPr>
      </w:pPr>
      <w:r>
        <w:rPr>
          <w:rStyle w:val="VerbatimChar"/>
        </w:rPr>
        <w:t xml:space="preserve">docs/**/Status.md</w:t>
      </w:r>
      <w:r>
        <w:t xml:space="preserve"> </w:t>
      </w:r>
      <w:r>
        <w:t xml:space="preserve">(every domain-scoped instance) — per-integration status (§11.4.45)</w:t>
      </w:r>
    </w:p>
    <w:p>
      <w:pPr>
        <w:pStyle w:val="Compact"/>
        <w:numPr>
          <w:ilvl w:val="0"/>
          <w:numId w:val="1033"/>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034"/>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034"/>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034"/>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21"/>
    <w:bookmarkStart w:id="22" w:name="Xa144bbb97ee92334e13c0cd724f71d49bf451b0"/>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("structured content")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035"/>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035"/>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036"/>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036"/>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22"/>
    <w:bookmarkStart w:id="23" w:name="X3dc5add372693bd7979bdc2ee8ea6de0ed19427"/>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 "I'll just tweak this one file" 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 "small" 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23"/>
    <w:bookmarkStart w:id="24" w:name="Xe3c4cd03d0cf3b10f1bcc6c345c21d79a9efc2f"/>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 "operator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p>
    <w:p>
      <w:pPr>
        <w:pStyle w:val="Compact"/>
        <w:numPr>
          <w:ilvl w:val="0"/>
          <w:numId w:val="1037"/>
        </w:numPr>
      </w:pPr>
      <w:r>
        <w:t xml:space="preserve">Project root</w:t>
      </w:r>
      <w:r>
        <w:t xml:space="preserve"> </w:t>
      </w:r>
      <w:r>
        <w:rPr>
          <w:rStyle w:val="VerbatimChar"/>
        </w:rPr>
        <w:t xml:space="preserve">*.md</w:t>
      </w:r>
      <w:r>
        <w:t xml:space="preserve"> </w:t>
      </w:r>
      <w:r>
        <w:t xml:space="preserve">(README.md, CLAUDE.md, AGENTS.md, CONTRIBUTING.md, etc.)</w:t>
      </w:r>
    </w:p>
    <w:p>
      <w:pPr>
        <w:pStyle w:val="Compact"/>
        <w:numPr>
          <w:ilvl w:val="0"/>
          <w:numId w:val="1037"/>
        </w:numPr>
      </w:pPr>
      <w:r>
        <w:rPr>
          <w:rStyle w:val="VerbatimChar"/>
        </w:rPr>
        <w:t xml:space="preserve">docs/**/*.md</w:t>
      </w:r>
      <w:r>
        <w:t xml:space="preserve"> </w:t>
      </w:r>
      <w:r>
        <w:t xml:space="preserve">(guides, research, plans, changelogs, procedures, hardware notes)</w:t>
      </w:r>
    </w:p>
    <w:p>
      <w:pPr>
        <w:pStyle w:val="Compact"/>
        <w:numPr>
          <w:ilvl w:val="0"/>
          <w:numId w:val="1037"/>
        </w:numPr>
      </w:pPr>
      <w:r>
        <w:rPr>
          <w:rStyle w:val="VerbatimChar"/>
        </w:rPr>
        <w:t xml:space="preserve">scripts/**/*.md</w:t>
      </w:r>
      <w:r>
        <w:t xml:space="preserve"> </w:t>
      </w:r>
      <w:r>
        <w:t xml:space="preserve">(script-companion docs in documentation format, NOT shebang scripts)</w:t>
      </w:r>
    </w:p>
    <w:p>
      <w:pPr>
        <w:pStyle w:val="Compact"/>
        <w:numPr>
          <w:ilvl w:val="0"/>
          <w:numId w:val="1037"/>
        </w:numPr>
      </w:pPr>
      <w:r>
        <w:t xml:space="preserve">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p>
    <w:p>
      <w:pPr>
        <w:pStyle w:val="Compact"/>
        <w:numPr>
          <w:ilvl w:val="0"/>
          <w:numId w:val="1037"/>
        </w:numPr>
      </w:pPr>
      <w:r>
        <w:rPr>
          <w:rStyle w:val="VerbatimChar"/>
        </w:rPr>
        <w:t xml:space="preserve">constitution/**/*.md</w:t>
      </w:r>
      <w:r>
        <w:t xml:space="preserve"> </w:t>
      </w:r>
      <w:r>
        <w:t xml:space="preserve">(the canonical-root submodule)</w:t>
      </w:r>
    </w:p>
    <w:p>
      <w:pPr>
        <w:pStyle w:val="Compact"/>
        <w:numPr>
          <w:ilvl w:val="0"/>
          <w:numId w:val="1037"/>
        </w:numPr>
      </w:pP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FirstParagraph"/>
      </w:pPr>
      <w:r>
        <w:t xml:space="preserve">EXCLUDED (NOT subject to §11.4.65 — these are application/service source</w:t>
      </w:r>
      <w:r>
        <w:t xml:space="preserve"> </w:t>
      </w:r>
      <w:r>
        <w:t xml:space="preserve">code or third-party trees we do not own):</w:t>
      </w:r>
    </w:p>
    <w:p>
      <w:pPr>
        <w:pStyle w:val="Compact"/>
        <w:numPr>
          <w:ilvl w:val="0"/>
          <w:numId w:val="1038"/>
        </w:numPr>
      </w:pPr>
      <w:r>
        <w:rPr>
          <w:rStyle w:val="VerbatimChar"/>
        </w:rPr>
        <w:t xml:space="preserve">external/**</w:t>
      </w:r>
      <w:r>
        <w:t xml:space="preserve"> </w:t>
      </w:r>
      <w:r>
        <w:t xml:space="preserve">(AOSP-mainline / upstream-mirror source trees)</w:t>
      </w:r>
    </w:p>
    <w:p>
      <w:pPr>
        <w:pStyle w:val="Compact"/>
        <w:numPr>
          <w:ilvl w:val="0"/>
          <w:numId w:val="1038"/>
        </w:numPr>
      </w:pPr>
      <w:r>
        <w:rPr>
          <w:rStyle w:val="VerbatimChar"/>
        </w:rPr>
        <w:t xml:space="preserve">prebuilts/**</w:t>
      </w:r>
      <w:r>
        <w:t xml:space="preserve"> </w:t>
      </w:r>
      <w:r>
        <w:t xml:space="preserve">(binary prebuilts + their bundled docs)</w:t>
      </w:r>
    </w:p>
    <w:p>
      <w:pPr>
        <w:pStyle w:val="Compact"/>
        <w:numPr>
          <w:ilvl w:val="0"/>
          <w:numId w:val="1038"/>
        </w:numPr>
      </w:pPr>
      <w:r>
        <w:rPr>
          <w:rStyle w:val="VerbatimChar"/>
        </w:rPr>
        <w:t xml:space="preserve">packages/modules/**</w:t>
      </w:r>
      <w:r>
        <w:t xml:space="preserve"> </w:t>
      </w:r>
      <w:r>
        <w:t xml:space="preserve">(AOSP mainline modules)</w:t>
      </w:r>
    </w:p>
    <w:p>
      <w:pPr>
        <w:pStyle w:val="Compact"/>
        <w:numPr>
          <w:ilvl w:val="0"/>
          <w:numId w:val="1038"/>
        </w:numPr>
      </w:pPr>
      <w:r>
        <w:rPr>
          <w:rStyle w:val="VerbatimChar"/>
        </w:rPr>
        <w:t xml:space="preserve">kernel-5.10/**</w:t>
      </w:r>
      <w:r>
        <w:t xml:space="preserve"> </w:t>
      </w:r>
      <w:r>
        <w:t xml:space="preserve">(kernel source tree — has its own upstream docs)</w:t>
      </w:r>
    </w:p>
    <w:p>
      <w:pPr>
        <w:pStyle w:val="Compact"/>
        <w:numPr>
          <w:ilvl w:val="0"/>
          <w:numId w:val="1038"/>
        </w:numPr>
      </w:pPr>
      <w:r>
        <w:rPr>
          <w:rStyle w:val="VerbatimChar"/>
        </w:rPr>
        <w:t xml:space="preserve">out/**</w:t>
      </w:r>
      <w:r>
        <w:t xml:space="preserve"> </w:t>
      </w:r>
      <w:r>
        <w:t xml:space="preserve">(build output)</w:t>
      </w:r>
    </w:p>
    <w:p>
      <w:pPr>
        <w:pStyle w:val="Compact"/>
        <w:numPr>
          <w:ilvl w:val="0"/>
          <w:numId w:val="1038"/>
        </w:numPr>
      </w:pPr>
      <w:r>
        <w:rPr>
          <w:rStyle w:val="VerbatimChar"/>
        </w:rPr>
        <w:t xml:space="preserve">build/**</w:t>
      </w:r>
      <w:r>
        <w:t xml:space="preserve"> </w:t>
      </w:r>
      <w:r>
        <w:t xml:space="preserve">(AOSP build system)</w:t>
      </w:r>
    </w:p>
    <w:p>
      <w:pPr>
        <w:pStyle w:val="Compact"/>
        <w:numPr>
          <w:ilvl w:val="0"/>
          <w:numId w:val="1038"/>
        </w:numPr>
      </w:pPr>
      <w:r>
        <w:t xml:space="preserve">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p>
    <w:p>
      <w:pPr>
        <w:pStyle w:val="Compact"/>
        <w:numPr>
          <w:ilvl w:val="0"/>
          <w:numId w:val="1038"/>
        </w:numPr>
      </w:pPr>
      <w:r>
        <w:t xml:space="preserve">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FirstParagraph"/>
      </w:pPr>
      <w:r>
        <w:rPr>
          <w:b/>
          <w:bCs/>
        </w:rPr>
        <w:t xml:space="preserve">Mandatory protections (ALL must hold):</w:t>
      </w:r>
    </w:p>
    <w:p>
      <w:pPr>
        <w:pStyle w:val="Compact"/>
        <w:numPr>
          <w:ilvl w:val="0"/>
          <w:numId w:val="1039"/>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039"/>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039"/>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039"/>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040"/>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039"/>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041"/>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r>
        <w:t xml:space="preserve"> </w:t>
      </w:r>
      <w:r>
        <w:t xml:space="preserve">(b) 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041"/>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24"/>
    <w:bookmarkStart w:id="25" w:name="X60b4fbb212fd731e09df9b15f063712280e37e2"/>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 "what this system does" 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042"/>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042"/>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 "secondary" maps to the existing §11.4.61 metadata-table</w:t>
      </w:r>
      <w:r>
        <w:t xml:space="preserve"> </w:t>
      </w:r>
      <w:r>
        <w:rPr>
          <w:rStyle w:val="VerbatimChar"/>
        </w:rPr>
        <w:t xml:space="preserve">Revision</w:t>
      </w:r>
      <w:r>
        <w:t xml:space="preserve"> </w:t>
      </w:r>
      <w:r>
        <w:t xml:space="preserve">row):</w:t>
      </w:r>
    </w:p>
    <w:p>
      <w:pPr>
        <w:pStyle w:val="Compact"/>
        <w:numPr>
          <w:ilvl w:val="1"/>
          <w:numId w:val="1043"/>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043"/>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042"/>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042"/>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042"/>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p>
    <w:p>
      <w:pPr>
        <w:pStyle w:val="Compact"/>
        <w:numPr>
          <w:ilvl w:val="0"/>
          <w:numId w:val="1044"/>
        </w:numPr>
      </w:pPr>
      <w:r>
        <w:t xml:space="preserve">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p>
    <w:p>
      <w:pPr>
        <w:pStyle w:val="Compact"/>
        <w:numPr>
          <w:ilvl w:val="1"/>
          <w:numId w:val="1045"/>
        </w:numPr>
      </w:pPr>
      <w:r>
        <w:t xml:space="preserve">The file at</w:t>
      </w:r>
      <w:r>
        <w:t xml:space="preserve"> </w:t>
      </w:r>
      <w:r>
        <w:rPr>
          <w:rStyle w:val="VerbatimChar"/>
        </w:rPr>
        <w:t xml:space="preserve">main_spec_path</w:t>
      </w:r>
      <w:r>
        <w:t xml:space="preserve"> </w:t>
      </w:r>
      <w:r>
        <w:t xml:space="preserve">exists.</w:t>
      </w:r>
    </w:p>
    <w:p>
      <w:pPr>
        <w:pStyle w:val="Compact"/>
        <w:numPr>
          <w:ilvl w:val="1"/>
          <w:numId w:val="1045"/>
        </w:numPr>
      </w:pPr>
      <w:r>
        <w:t xml:space="preserve">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p>
    <w:p>
      <w:pPr>
        <w:pStyle w:val="Compact"/>
        <w:numPr>
          <w:ilvl w:val="1"/>
          <w:numId w:val="1045"/>
        </w:numPr>
      </w:pPr>
      <w:r>
        <w:t xml:space="preserve">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FirstParagraph"/>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25"/>
    <w:bookmarkStart w:id="26"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046"/>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046"/>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046"/>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046"/>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26"/>
    <w:bookmarkStart w:id="28" w:name="Xf770fa42d39f78254f65e336e449e986204433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w:t>
      </w:r>
      <w:r>
        <w:t xml:space="preserve"> </w:t>
      </w:r>
      <w:hyperlink r:id="rId27">
        <w:r>
          <w:rPr>
            <w:rStyle w:val="Hyperlink"/>
          </w:rPr>
          <w:t xml:space="preserve">https://core.telegram.org/api/obtaining_api_id</w:t>
        </w:r>
      </w:hyperlink>
      <w:r>
        <w:t xml:space="preserve"> </w:t>
      </w:r>
      <w:r>
        <w:t xml:space="preserve">("all accounts that sign up or log in using unofficial Telegram clients are automatically put under observation") AND (b) the gotd/td maintainer's "How to not get banned?" 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047"/>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047"/>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047"/>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047"/>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047"/>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048"/>
        </w:numPr>
      </w:pPr>
      <w:r>
        <w:rPr>
          <w:b/>
          <w:bCs/>
        </w:rPr>
        <w:t xml:space="preserve">Before being cited as the authority for an operator-action campaign</w:t>
      </w:r>
      <w:r>
        <w:t xml:space="preserve"> </w:t>
      </w:r>
      <w:r>
        <w:t xml:space="preserve">(the operator's command to "follow this guide" is the trigger).</w:t>
      </w:r>
    </w:p>
    <w:p>
      <w:pPr>
        <w:pStyle w:val="Compact"/>
        <w:numPr>
          <w:ilvl w:val="0"/>
          <w:numId w:val="1048"/>
        </w:numPr>
      </w:pPr>
      <w:r>
        <w:rPr>
          <w:b/>
          <w:bCs/>
        </w:rPr>
        <w:t xml:space="preserve">At every major release boundary</w:t>
      </w:r>
      <w:r>
        <w:t xml:space="preserve"> </w:t>
      </w:r>
      <w:r>
        <w:t xml:space="preserve">(vN.0.0 tag — the release-gate sweep includes a §11.4.99 freshness audit).</w:t>
      </w:r>
    </w:p>
    <w:p>
      <w:pPr>
        <w:pStyle w:val="Compact"/>
        <w:numPr>
          <w:ilvl w:val="0"/>
          <w:numId w:val="1048"/>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048"/>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 "Sources verified" 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 "external precedent or literal 'NO external solution found'".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 "Sources verified</w:t>
      </w:r>
      <w:r>
        <w:t xml:space="preserve"> </w:t>
      </w:r>
      <w:r>
        <w:t xml:space="preserve">" 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 "consistency and safety of created instructions, guides and manuals".</w:t>
      </w:r>
    </w:p>
    <w:bookmarkEnd w:id="28"/>
    <w:bookmarkStart w:id="29" w:name="Xe0491afacde36880ccf8da801d9174120b23b08"/>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 "absence-of-error" /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w:t>
      </w:r>
      <w:r>
        <w:t xml:space="preserve">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 "the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(F) Write-seam hook enforcement + real-time-sync honest boundary (extension, 2026-07-15; operator mandate — the Continuation / memory / knowledge artefacts MUST ALWAYS be in sync).</w:t>
      </w:r>
      <w:r>
        <w:t xml:space="preserve"> </w:t>
      </w:r>
      <w:r>
        <w:t xml:space="preserve">The documentation/DB sync this engine mechanizes MUST be ENFORCED AT THE WRITE SEAMS, never left to agent vigilance: the consuming project MUST wire the engine's</w:t>
      </w:r>
      <w:r>
        <w:t xml:space="preserve"> </w:t>
      </w:r>
      <w:r>
        <w:rPr>
          <w:rStyle w:val="VerbatimChar"/>
        </w:rPr>
        <w:t xml:space="preserve">verify</w:t>
      </w:r>
      <w:r>
        <w:t xml:space="preserve"> </w:t>
      </w:r>
      <w:r>
        <w:t xml:space="preserve">(and, where safe,</w:t>
      </w:r>
      <w:r>
        <w:t xml:space="preserve"> </w:t>
      </w:r>
      <w:r>
        <w:rPr>
          <w:rStyle w:val="VerbatimChar"/>
        </w:rPr>
        <w:t xml:space="preserve">sync</w:t>
      </w:r>
      <w:r>
        <w:t xml:space="preserve">) into (1) the COMMIT seam — a pre-commit / commit-wrapper hook that REFUSES a commit whose staged set touches a chain SOURCE while its derived exports / DB rows are stale; (2) the BUILD seam — the pre-build gate; and (3) the CONSTITUTION-PULL seam — the §11.4.164</w:t>
      </w:r>
      <w:r>
        <w:t xml:space="preserve"> </w:t>
      </w:r>
      <w:r>
        <w:rPr>
          <w:rStyle w:val="VerbatimChar"/>
        </w:rPr>
        <w:t xml:space="preserve">post_update_hook.sh</w:t>
      </w:r>
      <w:r>
        <w:t xml:space="preserve"> </w:t>
      </w:r>
      <w:r>
        <w:t xml:space="preserve">invocation. A stale</w:t>
      </w:r>
      <w:r>
        <w:t xml:space="preserve"> </w:t>
      </w:r>
      <w:r>
        <w:rPr>
          <w:rStyle w:val="VerbatimChar"/>
        </w:rPr>
        <w:t xml:space="preserve">CONTINUATION.md</w:t>
      </w:r>
      <w:r>
        <w:t xml:space="preserve"> </w:t>
      </w:r>
      <w:r>
        <w:t xml:space="preserve">(§12.10), a stale standing session-resumption file (§11.4.131), or a stale memory / knowledge artefact while the live state has ALREADY moved is a violation of the SAME severity class as a stale export — the resumption guarantee silently breaks and a fresh session resumes on fiction. Honest boundary (§11.4.6): hook-wired seam enforcement makes the sync EVENTUALLY-CONSISTENT-AT-EVERY-WRITE — it is NOT literal continuous real-time; genuine continuous real-time sync requires a filesystem-watch daemon (inotify / FSEvents watcher running the chain on change). A project that CLAIMS "real-time sync" while shipping only seam hooks is bluffing the mechanism: state the seam-based guarantee honestly, and carry the watch daemon as a TRACKED upgrade path (§11.4.197 — driven to completion or explicitly closed, never left un-wired).</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29"/>
    <w:bookmarkStart w:id="30" w:name="Xeb8c57e1542f62a3f92694e8c588b49c3b5b42a"/>
    <w:p>
      <w:pPr>
        <w:pStyle w:val="Heading3"/>
      </w:pPr>
      <w:r>
        <w:t xml:space="preserve">§11.4.153 — Comprehensive per-feature Status + Status_Summary document set with mandatory video-recording confirmation (User mandate, 2026-06-15)</w:t>
      </w:r>
    </w:p>
    <w:p>
      <w:pPr>
        <w:pStyle w:val="FirstParagraph"/>
      </w:pPr>
      <w:r>
        <w:rPr>
          <w:b/>
          <w:bCs/>
        </w:rPr>
        <w:t xml:space="preserve">Forensic anchor — verbatim user mandate (2026-06-15):</w:t>
      </w:r>
      <w:r>
        <w:t xml:space="preserve"> </w:t>
      </w:r>
      <w:r>
        <w:t xml:space="preserve">"We MUST CREATE proper Status and Status_Summary documents under docs/features containing and covering all system components, all client apps, and all features we have and we have ported from all cli_agents! ... in-depth with no a single feature left ... table ... always up to date and in sync ... status of its usability implementation tests coverage and the confirmation of practical use confirmed on video recording with no false results or bluff of any kind! ... tightly connected using docs_chain Submodule ... Exitence of such Status (with Status_Summary) document with all exported files (PDF, DOCX, HTML) is mandatory for every single project."</w:t>
      </w:r>
    </w:p>
    <w:p>
      <w:pPr>
        <w:pStyle w:val="BodyText"/>
      </w:pPr>
      <w:r>
        <w:t xml:space="preserve">Every project MUST maintain, under</w:t>
      </w:r>
      <w:r>
        <w:t xml:space="preserve"> </w:t>
      </w:r>
      <w:r>
        <w:rPr>
          <w:rStyle w:val="VerbatimChar"/>
        </w:rPr>
        <w:t xml:space="preserve">docs/features/</w:t>
      </w:r>
      <w:r>
        <w:t xml:space="preserve">, a comprehensive</w:t>
      </w:r>
      <w:r>
        <w:t xml:space="preserve"> </w:t>
      </w:r>
      <w:r>
        <w:rPr>
          <w:b/>
          <w:bCs/>
        </w:rPr>
        <w:t xml:space="preserve">feature Status document set</w:t>
      </w:r>
      <w:r>
        <w:t xml:space="preserve"> </w:t>
      </w:r>
      <w:r>
        <w:t xml:space="preserve">(</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that enumerates EVERY system component, EVERY client application/binary/surface (TUI / CLI / Web / desktop / mobile / API / gRPC / library / submodule / infrastructure), and EVERY feature — including features ported in from any incorporated CLI-agent / submodule catalogue (§11.4.74) — with NO single feature left out. The mandate (ALL hold):</w:t>
      </w:r>
    </w:p>
    <w:p>
      <w:pPr>
        <w:pStyle w:val="BodyText"/>
      </w:pPr>
      <w:r>
        <w:t xml:space="preserve">(1)</w:t>
      </w:r>
      <w:r>
        <w:t xml:space="preserve"> </w:t>
      </w:r>
      <w:r>
        <w:rPr>
          <w:b/>
          <w:bCs/>
        </w:rPr>
        <w:t xml:space="preserve">Total, categorized feature coverage</w:t>
      </w:r>
      <w:r>
        <w:t xml:space="preserve"> </w:t>
      </w:r>
      <w:r>
        <w:t xml:space="preserve">— a per-feature table covering the FULL feature surface, organized Component → Category, reconciled against the actual codebase (a feature present in code but absent from the table, or a table row with no code, is a §11.4.153 violation; "looks complete" without a code-reconciliation pass is a §11.4.6/§11.4.118 bluff).</w:t>
      </w:r>
    </w:p>
    <w:p>
      <w:pPr>
        <w:pStyle w:val="BodyText"/>
      </w:pPr>
      <w:r>
        <w:t xml:space="preserve">(2)</w:t>
      </w:r>
      <w:r>
        <w:t xml:space="preserve"> </w:t>
      </w:r>
      <w:r>
        <w:rPr>
          <w:b/>
          <w:bCs/>
        </w:rPr>
        <w:t xml:space="preserve">Per-feature fields</w:t>
      </w:r>
      <w:r>
        <w:t xml:space="preserve"> </w:t>
      </w:r>
      <w:r>
        <w:t xml:space="preserve">— each feature row MUST carry: Component, Feature, Category, Implementation status, Wiring status (genuinely reachable by an end user, not merely compiled — §11.4.108), Real-use status, Tests-coverage status (the four-layer §11.4.4(b) coverage state), Validation status (closed vocabulary PASS / FAIL / SKIP / PENDING_FORENSICS / OPERATOR-BLOCKED per §11.4.45), and</w:t>
      </w:r>
      <w:r>
        <w:t xml:space="preserve"> </w:t>
      </w:r>
      <w:r>
        <w:rPr>
          <w:b/>
          <w:bCs/>
        </w:rPr>
        <w:t xml:space="preserve">Video-recording confirmation</w:t>
      </w:r>
      <w:r>
        <w:t xml:space="preserve"> </w:t>
      </w:r>
      <w:r>
        <w:t xml:space="preserve">(a path to the captured real-use video proving the feature works for the end user, or an honest gap marker).</w:t>
      </w:r>
    </w:p>
    <w:p>
      <w:pPr>
        <w:pStyle w:val="BodyText"/>
      </w:pPr>
      <w:r>
        <w:t xml:space="preserve">(3)</w:t>
      </w:r>
      <w:r>
        <w:t xml:space="preserve"> </w:t>
      </w:r>
      <w:r>
        <w:rPr>
          <w:b/>
          <w:bCs/>
        </w:rPr>
        <w:t xml:space="preserve">Mandatory per-feature real-use video confirmation</w:t>
      </w:r>
      <w:r>
        <w:t xml:space="preserve"> </w:t>
      </w:r>
      <w:r>
        <w:t xml:space="preserve">— each user-visible feature's "confirmed working" claim MUST be backed by a recorded real-use video showing a genuine end-user scenario: real prompts → real LLM/service responses producing real results, NEVER a frozen/stale frame (§11.4.107 liveness), NEVER a faked, mocked, demo-loop, or bluff response, NEVER an LLM error/garbage response passed off as success. Videos are captured evidence per §11.4.2/§11.4.5 and stored at the project-declared recording path (§11.4.35); a "confirmed" row with no real video, or a video whose content is a bluff, is a §11.4 PASS-bluff at the feature-status layer. Where autonomous video capture is genuinely infeasible the row is an honest §11.4.3/§11.4.52 SKIP-with-reason + tracked migration item — NEVER a faked confirmation.</w:t>
      </w:r>
    </w:p>
    <w:p>
      <w:pPr>
        <w:pStyle w:val="BodyText"/>
      </w:pPr>
      <w:r>
        <w:t xml:space="preserve">(4)</w:t>
      </w:r>
      <w:r>
        <w:t xml:space="preserve"> </w:t>
      </w:r>
      <w:r>
        <w:rPr>
          <w:b/>
          <w:bCs/>
        </w:rPr>
        <w:t xml:space="preserve">Mandatory video-analysis remediation loop</w:t>
      </w:r>
      <w:r>
        <w:t xml:space="preserve"> </w:t>
      </w:r>
      <w:r>
        <w:t xml:space="preserve">— every recorded video MUST be analysed (its presented data recognized + checked); any defect the video surfaces MUST trigger the §11.4.102 systematic-debugging → fix → §11.4.146 retest → re-record loop, iterating to a clean GO per §11.4.134, before the feature is marked confirmed. A video that exposes a broken feature is a §11.4.4 test-interrupt, not a confirmation.</w:t>
      </w:r>
    </w:p>
    <w:p>
      <w:pPr>
        <w:pStyle w:val="BodyText"/>
      </w:pPr>
      <w:r>
        <w:t xml:space="preserve">(5)</w:t>
      </w:r>
      <w:r>
        <w:t xml:space="preserve"> </w:t>
      </w:r>
      <w:r>
        <w:rPr>
          <w:b/>
          <w:bCs/>
        </w:rPr>
        <w:t xml:space="preserve">Always-in-sync, mechanically enforced</w:t>
      </w:r>
      <w:r>
        <w:t xml:space="preserve"> </w:t>
      </w:r>
      <w:r>
        <w:t xml:space="preserve">— the feature Status set is a §11.4.45-class roster/corpus-backed Status doc: kept in sync via the §11.4.106 docs_chain engine + a §11.4.86 drift-proof fingerprint (sha256 of the sorted feature-key roster AND the sorted video-artefact roster, NOT mtime) so that adding/removing/renaming a feature OR a video artefact mechanically re-syncs the docs + exports out-of-the-box; stale = violation.</w:t>
      </w:r>
    </w:p>
    <w:p>
      <w:pPr>
        <w:pStyle w:val="BodyText"/>
      </w:pPr>
      <w:r>
        <w:t xml:space="preserve">(6)</w:t>
      </w:r>
      <w:r>
        <w:t xml:space="preserve"> </w:t>
      </w:r>
      <w:r>
        <w:rPr>
          <w:b/>
          <w:bCs/>
        </w:rPr>
        <w:t xml:space="preserve">Four-format export</w:t>
      </w:r>
      <w:r>
        <w:t xml:space="preserve"> </w:t>
      </w:r>
      <w:r>
        <w:t xml:space="preserve">— the feature Status set MUST export to HTML + PDF + DOCX (this doc class ADDS DOCX to the §11.4.65 universal HTML+PDF export set; the other doc classes are unchanged), all kept in sync per §11.4.60.</w:t>
      </w:r>
    </w:p>
    <w:p>
      <w:pPr>
        <w:pStyle w:val="BodyText"/>
      </w:pPr>
      <w:r>
        <w:t xml:space="preserve">(7)</w:t>
      </w:r>
      <w:r>
        <w:t xml:space="preserve"> </w:t>
      </w:r>
      <w:r>
        <w:rPr>
          <w:b/>
          <w:bCs/>
        </w:rPr>
        <w:t xml:space="preserve">Follows the Status-doc family</w:t>
      </w:r>
      <w:r>
        <w:t xml:space="preserve"> </w:t>
      </w:r>
      <w:r>
        <w:t xml:space="preserve">— composes §11.4.44 (revision header), §11.4.45 (Status maintenance + captured-evidence table + operator-blocked-at-top), §11.4.56 (Status_Summary two-audience parity), §11.4.57 (README doc-link row), §11.4.59/§11.4.60 (always-sync composite).</w:t>
      </w:r>
    </w:p>
    <w:p>
      <w:pPr>
        <w:pStyle w:val="BodyText"/>
      </w:pPr>
      <w:r>
        <w:t xml:space="preserve">(8)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w:t>
      </w:r>
      <w:r>
        <w:t xml:space="preserve"> </w:t>
      </w:r>
      <w:r>
        <w:rPr>
          <w:rStyle w:val="VerbatimChar"/>
        </w:rPr>
        <w:t xml:space="preserve">movflags +faststart</w:t>
      </w:r>
      <w:r>
        <w:t xml:space="preserve">,</w:t>
      </w:r>
      <w:r>
        <w:t xml:space="preserve"> </w:t>
      </w:r>
      <w:r>
        <w:rPr>
          <w:rStyle w:val="VerbatimChar"/>
        </w:rPr>
        <w:t xml:space="preserve">pix_fmt yuv420p</w:t>
      </w:r>
      <w:r>
        <w:t xml:space="preserve">). Window-specific capture ONLY (§11.4.159(A)). Vision validation REQUIRED (§11.4.159(D)).</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w:t>
      </w:r>
    </w:p>
    <w:p>
      <w:pPr>
        <w:pStyle w:val="BodyText"/>
      </w:pPr>
      <w:r>
        <w:t xml:space="preserve">Honest boundary (§11.4.6): the feature Status set guarantees a complete, video-confirmed, always-synced ledger of what works for the end user — it does NOT itself prove correctness of any single feature (that rests on the feature's own §11.4.69/§11.4.107/§11.4.123 captured evidence the row cites), and it does NOT replace §11.4.40 full-suite retest. Classification: universal (§11.4.17) — the consuming project supplies its concrete</w:t>
      </w:r>
      <w:r>
        <w:t xml:space="preserve"> </w:t>
      </w:r>
      <w:r>
        <w:rPr>
          <w:rStyle w:val="VerbatimChar"/>
        </w:rPr>
        <w:t xml:space="preserve">docs/features/</w:t>
      </w:r>
      <w:r>
        <w:t xml:space="preserve"> </w:t>
      </w:r>
      <w:r>
        <w:t xml:space="preserve">layout, feature roster source, recording path, and DOCX exporter per §11.4.35. Composes §11.4.2 / §11.4.5 / §11.4.44 / §11.4.45 / §11.4.52 / §11.4.56 / §11.4.57 / §11.4.59 / §11.4.60 / §11.4.65 / §11.4.86 / §11.4.102 / §11.4.106 / §11.4.107 / §11.4.108 / §11.4.118 / §11.4.123 / §11.4.134 / §11.4.146 / §1.1.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(every code-present feature has a Status row + every row maps to code) +</w:t>
      </w:r>
      <w:r>
        <w:t xml:space="preserve"> </w:t>
      </w:r>
      <w:r>
        <w:rPr>
          <w:rStyle w:val="VerbatimChar"/>
        </w:rPr>
        <w:t xml:space="preserve">CM-FEATURE-STATUS-VIDEO-CONFIRMED</w:t>
      </w:r>
      <w:r>
        <w:t xml:space="preserve"> </w:t>
      </w:r>
      <w:r>
        <w:t xml:space="preserve">(every user-visible confirmed row cites a real captured video or an honest SKIP) + paired §1.1 meta-test mutation (strip the literal → propagation gate FAILs; mark a feature confirmed with no real video / drop a code-present feature from the table → the feature-status gates FAIL; gate-code = separate work item).</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bookmarkEnd w:id="30"/>
    <w:bookmarkStart w:id="31" w:name="Xa2361eb58f0a935ede40bb9cc08c1d6caaa24a1"/>
    <w:p>
      <w:pPr>
        <w:pStyle w:val="Heading3"/>
      </w:pPr>
      <w:r>
        <w:t xml:space="preserve">§11.4.168 — Exported-document independent content + textual + full-visual validation mandate (User mandate, 2026-06-23)</w:t>
      </w:r>
    </w:p>
    <w:p>
      <w:pPr>
        <w:pStyle w:val="FirstParagraph"/>
      </w:pPr>
      <w:r>
        <w:rPr>
          <w:b/>
          <w:bCs/>
        </w:rPr>
        <w:t xml:space="preserve">Forensic anchor (FACT, 2026-06-23).</w:t>
      </w:r>
      <w:r>
        <w:t xml:space="preserve"> </w:t>
      </w:r>
      <w:r>
        <w:t xml:space="preserve">A "green" Mermaid export fix shipped RAW gantt-diagram source — the literal lines</w:t>
      </w:r>
      <w:r>
        <w:t xml:space="preserve"> </w:t>
      </w:r>
      <w:r>
        <w:rPr>
          <w:rStyle w:val="VerbatimChar"/>
        </w:rPr>
        <w:t xml:space="preserve">gantt</w:t>
      </w:r>
      <w:r>
        <w:t xml:space="preserve">,</w:t>
      </w:r>
      <w:r>
        <w:t xml:space="preserve"> </w:t>
      </w:r>
      <w:r>
        <w:rPr>
          <w:rStyle w:val="VerbatimChar"/>
        </w:rPr>
        <w:t xml:space="preserve">title</w:t>
      </w:r>
      <w:r>
        <w:t xml:space="preserve">,</w:t>
      </w:r>
      <w:r>
        <w:t xml:space="preserve"> </w:t>
      </w:r>
      <w:r>
        <w:rPr>
          <w:rStyle w:val="VerbatimChar"/>
        </w:rPr>
        <w:t xml:space="preserve">dateFormat</w:t>
      </w:r>
      <w:r>
        <w:t xml:space="preserve">,</w:t>
      </w:r>
      <w:r>
        <w:t xml:space="preserve"> </w:t>
      </w:r>
      <w:r>
        <w:rPr>
          <w:rStyle w:val="VerbatimChar"/>
        </w:rPr>
        <w:t xml:space="preserve">section</w:t>
      </w:r>
      <w:r>
        <w:t xml:space="preserve">,</w:t>
      </w:r>
      <w:r>
        <w:t xml:space="preserve"> </w:t>
      </w:r>
      <w:r>
        <w:rPr>
          <w:rStyle w:val="VerbatimChar"/>
        </w:rPr>
        <w:t xml:space="preserve">:done,</w:t>
      </w:r>
      <w:r>
        <w:t xml:space="preserve"> </w:t>
      </w:r>
      <w:r>
        <w:t xml:space="preserve">— as plain readable text into user-facing PDFs, unreadable to any reader who expected a rendered diagram. The fix's validation grepped the HTML for</w:t>
      </w:r>
      <w:r>
        <w:t xml:space="preserve"> </w:t>
      </w:r>
      <w:r>
        <w:rPr>
          <w:rStyle w:val="VerbatimChar"/>
        </w:rPr>
        <w:t xml:space="preserve">class="mermaid"</w:t>
      </w:r>
      <w:r>
        <w:t xml:space="preserve"> </w:t>
      </w:r>
      <w:r>
        <w:t xml:space="preserve">but NEVER opened the EXPORTED PDF to check whether raw diagram source had leaked into the body. The operator caught it (§11.4.138 operator-escape — the green suite missed it). Root lesson: generated/exported documents were never INDEPENDENTLY validated for the VISUAL + TEXTUAL correctness of the EXPORTED artifact itself — a</w:t>
      </w:r>
      <w:r>
        <w:t xml:space="preserve"> </w:t>
      </w:r>
      <w:r>
        <w:rPr>
          <w:rStyle w:val="VerbatimChar"/>
        </w:rPr>
        <w:t xml:space="preserve">grep</w:t>
      </w:r>
      <w:r>
        <w:t xml:space="preserve"> </w:t>
      </w:r>
      <w:r>
        <w:t xml:space="preserve">of the source-or-intermediate HTML is NOT a check of what the reader actually receives. This is the §11.4.108 SOURCE→ARTIFACT gap (the change present in source / intermediate, but the rendered bytes a reader opens are broken) materialised at the documentation-export layer.</w:t>
      </w:r>
    </w:p>
    <w:p>
      <w:pPr>
        <w:pStyle w:val="BodyText"/>
      </w:pPr>
      <w:r>
        <w:rPr>
          <w:b/>
          <w:bCs/>
        </w:rPr>
        <w:t xml:space="preserve">The mandate.</w:t>
      </w:r>
      <w:r>
        <w:t xml:space="preserve"> </w:t>
      </w:r>
      <w:r>
        <w:t xml:space="preserve">Every generated/exported document — HTML, PDF, DOCX, or any format in the §11.4.65 universal-Markdown-export scope (and the §11.4.153 four-format feature-Status set that adds DOCX) — MUST pass INDEPENDENT validation by a review agent structurally separate from the generator (§11.4.70/§11.4.20 dedicated subagent or a distinct human; NEVER the author/generator self-checking its own output — §11.4.92 self-evaluation PRECEDES and never satisfies; this is the §11.4.142 every-change-reviewed discipline applied to exported artifacts). The validation MUST be run on BOTH the source Markdown AND every exported artifact derived from it, ALWAYS — every export, not a sampled subset — across THREE layers, ALL of which MUST hold:</w:t>
      </w:r>
    </w:p>
    <w:p>
      <w:pPr>
        <w:pStyle w:val="BodyText"/>
      </w:pPr>
      <w:r>
        <w:rPr>
          <w:b/>
          <w:bCs/>
        </w:rPr>
        <w:t xml:space="preserve">(1) CONTENT layer.</w:t>
      </w:r>
      <w:r>
        <w:t xml:space="preserve"> </w:t>
      </w:r>
      <w:r>
        <w:t xml:space="preserve">The export faithfully carries the source's intent + data: nothing dropped, truncated, re-ordered into nonsense, or garbled. Every section, table, list, code block, figure caption, and link the source declares is present and complete in the export (a table truncated to its first page, a list collapsed, a section silently omitted, a link stripped of its target are all CONTENT findings). Cross-check the exported artifact against the source — present-and-complete, not merely "the file exists and is non-empty" (the §11.4.5/§11.4.69 captured-evidence quality bar, not a presence-only bar).</w:t>
      </w:r>
    </w:p>
    <w:p>
      <w:pPr>
        <w:pStyle w:val="BodyText"/>
      </w:pPr>
      <w:r>
        <w:rPr>
          <w:b/>
          <w:bCs/>
        </w:rPr>
        <w:t xml:space="preserve">(2) TEXTUAL layer.</w:t>
      </w:r>
      <w:r>
        <w:t xml:space="preserve"> </w:t>
      </w:r>
      <w:r>
        <w:t xml:space="preserve">The export is human-readable: NO raw markup, NO diagram source, NO unrendered code-fence body leaking as ordinary body text. Specifically forbidden as body text in the exported artifact: raw Mermaid diagram source (</w:t>
      </w:r>
      <w:r>
        <w:rPr>
          <w:rStyle w:val="VerbatimChar"/>
        </w:rPr>
        <w:t xml:space="preserve">mermaid</w:t>
      </w:r>
      <w:r>
        <w:t xml:space="preserve">,</w:t>
      </w:r>
      <w:r>
        <w:t xml:space="preserve"> </w:t>
      </w:r>
      <w:r>
        <w:rPr>
          <w:rStyle w:val="VerbatimChar"/>
        </w:rPr>
        <w:t xml:space="preserve">gantt</w:t>
      </w:r>
      <w:r>
        <w:t xml:space="preserve">,</w:t>
      </w:r>
      <w:r>
        <w:t xml:space="preserve"> </w:t>
      </w:r>
      <w:r>
        <w:rPr>
          <w:rStyle w:val="VerbatimChar"/>
        </w:rPr>
        <w:t xml:space="preserve">graph</w:t>
      </w:r>
      <w:r>
        <w:t xml:space="preserve">,</w:t>
      </w:r>
      <w:r>
        <w:t xml:space="preserve"> </w:t>
      </w:r>
      <w:r>
        <w:rPr>
          <w:rStyle w:val="VerbatimChar"/>
        </w:rPr>
        <w:t xml:space="preserve">flowchart</w:t>
      </w:r>
      <w:r>
        <w:t xml:space="preserve">,</w:t>
      </w:r>
      <w:r>
        <w:t xml:space="preserve"> </w:t>
      </w:r>
      <w:r>
        <w:rPr>
          <w:rStyle w:val="VerbatimChar"/>
        </w:rPr>
        <w:t xml:space="preserve">sequenceDiagram</w:t>
      </w:r>
      <w:r>
        <w:t xml:space="preserve">,</w:t>
      </w:r>
      <w:r>
        <w:t xml:space="preserve"> </w:t>
      </w:r>
      <w:r>
        <w:rPr>
          <w:rStyle w:val="VerbatimChar"/>
        </w:rPr>
        <w:t xml:space="preserve">classDiagram</w:t>
      </w:r>
      <w:r>
        <w:t xml:space="preserve">,</w:t>
      </w:r>
      <w:r>
        <w:t xml:space="preserve"> </w:t>
      </w:r>
      <w:r>
        <w:rPr>
          <w:rStyle w:val="VerbatimChar"/>
        </w:rPr>
        <w:t xml:space="preserve">stateDiagram</w:t>
      </w:r>
      <w:r>
        <w:t xml:space="preserve">,</w:t>
      </w:r>
      <w:r>
        <w:t xml:space="preserve"> </w:t>
      </w:r>
      <w:r>
        <w:rPr>
          <w:rStyle w:val="VerbatimChar"/>
        </w:rPr>
        <w:t xml:space="preserve">erDiagram</w:t>
      </w:r>
      <w:r>
        <w:t xml:space="preserve">,</w:t>
      </w:r>
      <w:r>
        <w:t xml:space="preserve"> </w:t>
      </w:r>
      <w:r>
        <w:rPr>
          <w:rStyle w:val="VerbatimChar"/>
        </w:rPr>
        <w:t xml:space="preserve">pie</w:t>
      </w:r>
      <w:r>
        <w:t xml:space="preserve">,</w:t>
      </w:r>
      <w:r>
        <w:t xml:space="preserve"> </w:t>
      </w:r>
      <w:r>
        <w:rPr>
          <w:rStyle w:val="VerbatimChar"/>
        </w:rPr>
        <w:t xml:space="preserve">gitGraph</w:t>
      </w:r>
      <w:r>
        <w:t xml:space="preserve">,</w:t>
      </w:r>
      <w:r>
        <w:t xml:space="preserve"> </w:t>
      </w:r>
      <w:r>
        <w:rPr>
          <w:rStyle w:val="VerbatimChar"/>
        </w:rPr>
        <w:t xml:space="preserve">journey</w:t>
      </w:r>
      <w:r>
        <w:t xml:space="preserve">,</w:t>
      </w:r>
      <w:r>
        <w:t xml:space="preserve"> </w:t>
      </w:r>
      <w:r>
        <w:rPr>
          <w:rStyle w:val="VerbatimChar"/>
        </w:rPr>
        <w:t xml:space="preserve">dateFormat</w:t>
      </w:r>
      <w:r>
        <w:t xml:space="preserve">,</w:t>
      </w:r>
      <w:r>
        <w:t xml:space="preserve"> </w:t>
      </w:r>
      <w:r>
        <w:rPr>
          <w:rStyle w:val="VerbatimChar"/>
        </w:rPr>
        <w:t xml:space="preserve">section …</w:t>
      </w:r>
      <w:r>
        <w:t xml:space="preserve">,</w:t>
      </w:r>
      <w:r>
        <w:t xml:space="preserve"> </w:t>
      </w:r>
      <w:r>
        <w:rPr>
          <w:rStyle w:val="VerbatimChar"/>
        </w:rPr>
        <w:t xml:space="preserve">:done,</w:t>
      </w:r>
      <w:r>
        <w:t xml:space="preserve">/</w:t>
      </w:r>
      <w:r>
        <w:rPr>
          <w:rStyle w:val="VerbatimChar"/>
        </w:rPr>
        <w:t xml:space="preserve">:active,</w:t>
      </w:r>
      <w:r>
        <w:t xml:space="preserve">/</w:t>
      </w:r>
      <w:r>
        <w:rPr>
          <w:rStyle w:val="VerbatimChar"/>
        </w:rPr>
        <w:t xml:space="preserve">:crit,</w:t>
      </w:r>
      <w:r>
        <w:t xml:space="preserve"> </w:t>
      </w:r>
      <w:r>
        <w:t xml:space="preserve">task lines, and the closing-fence residue), raw HTML tags rendered as visible text, raw LaTeX/math source where math rendering was intended, and any triple-backtick code-fence whose intended rendering (diagram / formatted block) was supposed to replace the source. The 2026-06-23 raw-gantt-in-PDF failure is the canonical TEXTUAL finding. Detection reads the exported artifact as text (e.g.</w:t>
      </w:r>
      <w:r>
        <w:t xml:space="preserve"> </w:t>
      </w:r>
      <w:r>
        <w:rPr>
          <w:rStyle w:val="VerbatimChar"/>
        </w:rPr>
        <w:t xml:space="preserve">pdftotext</w:t>
      </w:r>
      <w:r>
        <w:t xml:space="preserve"> </w:t>
      </w:r>
      <w:r>
        <w:t xml:space="preserve">on the PDF, the rendered DOM/text of the HTML, the extracted document text of the DOCX) and asserts the forbidden tokens do NOT appear as body text.</w:t>
      </w:r>
    </w:p>
    <w:p>
      <w:pPr>
        <w:pStyle w:val="BodyText"/>
      </w:pPr>
      <w:r>
        <w:rPr>
          <w:b/>
          <w:bCs/>
        </w:rPr>
        <w:t xml:space="preserve">(3) FULL VISUAL layer.</w:t>
      </w:r>
      <w:r>
        <w:t xml:space="preserve"> </w:t>
      </w:r>
      <w:r>
        <w:t xml:space="preserve">Embedded diagrams render as IMAGES, not as source; layout is intact; no overlapping / cut-off / clipped / garbled / collapsed / blank content. Verified by RENDERING the export and inspecting the rendered result — never by inspecting the source or an intermediate alone: e.g.</w:t>
      </w:r>
      <w:r>
        <w:t xml:space="preserve"> </w:t>
      </w:r>
      <w:r>
        <w:rPr>
          <w:rStyle w:val="VerbatimChar"/>
        </w:rPr>
        <w:t xml:space="preserve">pdftotext</w:t>
      </w:r>
      <w:r>
        <w:t xml:space="preserve"> </w:t>
      </w:r>
      <w:r>
        <w:t xml:space="preserve">to catch raw diagram source leaking as text (composes layer 2),</w:t>
      </w:r>
      <w:r>
        <w:t xml:space="preserve"> </w:t>
      </w:r>
      <w:r>
        <w:rPr>
          <w:rStyle w:val="VerbatimChar"/>
        </w:rPr>
        <w:t xml:space="preserve">pdfimages</w:t>
      </w:r>
      <w:r>
        <w:t xml:space="preserve"> </w:t>
      </w:r>
      <w:r>
        <w:t xml:space="preserve">(or the format's image-enumeration) to CONFIRM the intended diagrams are present as rendered raster/vector images (a diagram that should be an image but produces zero embedded images is a VISUAL finding — the source leaked instead of rendering), and</w:t>
      </w:r>
      <w:r>
        <w:t xml:space="preserve"> </w:t>
      </w:r>
      <w:r>
        <w:rPr>
          <w:rStyle w:val="VerbatimChar"/>
        </w:rPr>
        <w:t xml:space="preserve">pdftoppm</w:t>
      </w:r>
      <w:r>
        <w:t xml:space="preserve">→OCR (§11.4.117/§11.4.107(12), confidence floor + ROI) to CONFIRM the rasterised page carries human-readable visual content and to re-catch any raw-source-as-pixels. Captured evidence per §11.4.5/§11.4.69/§11.4.107 (</w:t>
      </w:r>
      <w:r>
        <w:rPr>
          <w:rStyle w:val="VerbatimChar"/>
        </w:rPr>
        <w:t xml:space="preserve">pdftotext_body.txt</w:t>
      </w:r>
      <w:r>
        <w:t xml:space="preserve">,</w:t>
      </w:r>
      <w:r>
        <w:t xml:space="preserve"> </w:t>
      </w:r>
      <w:r>
        <w:rPr>
          <w:rStyle w:val="VerbatimChar"/>
        </w:rPr>
        <w:t xml:space="preserve">pdfimages_manifest.txt</w:t>
      </w:r>
      <w:r>
        <w:t xml:space="preserve">,</w:t>
      </w:r>
      <w:r>
        <w:t xml:space="preserve"> </w:t>
      </w:r>
      <w:r>
        <w:rPr>
          <w:rStyle w:val="VerbatimChar"/>
        </w:rPr>
        <w:t xml:space="preserve">ocr_pages/</w:t>
      </w:r>
      <w:r>
        <w:t xml:space="preserve">, the per-finding pinpoint — which page/region/token, expected vs actual) accompanies every verdict.</w:t>
      </w:r>
    </w:p>
    <w:p>
      <w:pPr>
        <w:pStyle w:val="BodyText"/>
      </w:pPr>
      <w:r>
        <w:rPr>
          <w:b/>
          <w:bCs/>
        </w:rPr>
        <w:t xml:space="preserve">(4) Anti-bluff — the validator is itself anti-bluff.</w:t>
      </w:r>
      <w:r>
        <w:t xml:space="preserve"> </w:t>
      </w:r>
      <w:r>
        <w:t xml:space="preserve">A rubber-stamp "the export looks fine" is NOT validation (§11.4 / §11.4.1 — a rubber-stamp validator is a PASS-bluff at the export-validation layer). The analyzer/validator is self-validated with a golden-good / golden-bad fixture pair per §11.4.107(10): a golden-good export (clean rendered diagram + faithful content) MUST PASS, and a golden-bad export (a PDF/HTML/DOCX deliberately seeded with raw Mermaid</w:t>
      </w:r>
      <w:r>
        <w:t xml:space="preserve"> </w:t>
      </w:r>
      <w:r>
        <w:rPr>
          <w:rStyle w:val="VerbatimChar"/>
        </w:rPr>
        <w:t xml:space="preserve">gantt</w:t>
      </w:r>
      <w:r>
        <w:t xml:space="preserve"> </w:t>
      </w:r>
      <w:r>
        <w:t xml:space="preserve">source as body text, plus a truncated table) MUST FAIL — a validator that passes its golden-bad fixture is a bluff gate and is investigated per §11.4.102 before any further use. The validation iterates to a clean GO per §11.4.134: any finding in ANY of the three layers (BLOCKING / nit / warning) re-arms the loop — the generator/author fixes it (e.g. pre-renders the diagram to an image before export), the export is regenerated, and the validator RE-VALIDATES, until GO with ZERO findings and ZERO warnings, every verdict backed by captured rendered-artifact evidence. A generated document that ships WITHOUT this independent content+textual+visual validation, or that contains raw diagram source / unreadable garble / dropped content in the exported artifact, is a §11.4 PASS-bluff at the documentation layer.</w:t>
      </w:r>
    </w:p>
    <w:p>
      <w:pPr>
        <w:pStyle w:val="BodyText"/>
      </w:pPr>
      <w:r>
        <w:rPr>
          <w:b/>
          <w:bCs/>
        </w:rPr>
        <w:t xml:space="preserve">Honest boundary (§11.4.6).</w:t>
      </w:r>
      <w:r>
        <w:t xml:space="preserve"> </w:t>
      </w:r>
      <w:r>
        <w:t xml:space="preserve">This validation confirms the EXPORTED artifact a reader opens carries the source's content faithfully, is textually readable, and renders its visuals as images — it does NOT prove the source's content is itself correct (that rests on the source's own §11.4.142 review + §11.4.135 regression guards) and does NOT replace the §11.4.65 mtime-parity export-sync gate (which proves the exports are FRESH, not that they are READABLE — §11.4.168 is the READABILITY/FIDELITY layer the mtime gate cannot see). A FLAG_SECURE / DRM-blanked / sink-blanked rendering surface that cannot be rasterised documents the gap per §11.4.112 and uses the §11.4.117 proxy oracle — never a faked visual PASS. "The HTML had</w:t>
      </w:r>
      <w:r>
        <w:t xml:space="preserve"> </w:t>
      </w:r>
      <w:r>
        <w:rPr>
          <w:rStyle w:val="VerbatimChar"/>
        </w:rPr>
        <w:t xml:space="preserve">class="mermaid"</w:t>
      </w:r>
      <w:r>
        <w:t xml:space="preserve">" is a source-side check, NOT an exported-artifact check (the exact 2026-06-23 omission); "</w:t>
      </w:r>
      <w:r>
        <w:rPr>
          <w:rStyle w:val="VerbatimChar"/>
        </w:rPr>
        <w:t xml:space="preserve">pdftotext</w:t>
      </w:r>
      <w:r>
        <w:t xml:space="preserve"> </w:t>
      </w:r>
      <w:r>
        <w:t xml:space="preserve">shows no</w:t>
      </w:r>
      <w:r>
        <w:t xml:space="preserve"> </w:t>
      </w:r>
      <w:r>
        <w:rPr>
          <w:rStyle w:val="VerbatimChar"/>
        </w:rPr>
        <w:t xml:space="preserve">gantt</w:t>
      </w:r>
      <w:r>
        <w:t xml:space="preserve"> </w:t>
      </w:r>
      <w:r>
        <w:t xml:space="preserve">source AND</w:t>
      </w:r>
      <w:r>
        <w:t xml:space="preserve"> </w:t>
      </w:r>
      <w:r>
        <w:rPr>
          <w:rStyle w:val="VerbatimChar"/>
        </w:rPr>
        <w:t xml:space="preserve">pdfimages</w:t>
      </w:r>
      <w:r>
        <w:t xml:space="preserve"> </w:t>
      </w:r>
      <w:r>
        <w:t xml:space="preserve">shows the expected diagram image AND OCR reads human text" is the exported-artifact check.</w:t>
      </w:r>
    </w:p>
    <w:p>
      <w:pPr>
        <w:pStyle w:val="BodyText"/>
      </w:pPr>
      <w:r>
        <w:rPr>
          <w:b/>
          <w:bCs/>
        </w:rPr>
        <w:t xml:space="preserve">Classification:</w:t>
      </w:r>
      <w:r>
        <w:t xml:space="preserve"> </w:t>
      </w:r>
      <w:r>
        <w:t xml:space="preserve">universal (§11.4.17) — a platform-neutral exported-document-fidelity discipline reusable by ANY project that generates/exports documents; the consuming project supplies its concrete pre-render pipeline, exporters, and rendered-artifact validators (text-extraction / image-enumeration / rasterise→OCR) per §11.4.35. Composes §11.4.65 (the export-scope + freshness layer this READABILITY layer sits atop) / §11.4.73 (project-wide MD/HTML/PDF/DOCX styling — styled exports MUST still pass the three layers) / §11.4.107 (the self-validated-analyzer + liveness/OCR validation techniques) / §11.4.117 (CV/OCR pixel-oracle for rasterised-page validation) / §11.4.135 (a fixed export-fidelity defect registers a permanent regression guard) / §11.4.138 (the 2026-06-23 operator-escape that motivated this anchor) / §11.4.142 (independent every-change review applied to exports) / §11.4.159 (window-scoped recording + vision-validation discipline, the recording analogue) / §11.4.163 (the media-validation pipeline — §11.4.168 is its document-export sibling) / §11.4.165 (the independent verification agent — §11.4.168(c) DOCS layer is its export-fidelity refinement) / §1.1.</w:t>
      </w:r>
    </w:p>
    <w:p>
      <w:pPr>
        <w:pStyle w:val="BodyText"/>
      </w:pPr>
      <w:r>
        <w:t xml:space="preserve">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w:t>
      </w:r>
      <w:r>
        <w:t xml:space="preserve">across the consumer fleet) + recommended gate</w:t>
      </w:r>
      <w:r>
        <w:t xml:space="preserve"> </w:t>
      </w:r>
      <w:r>
        <w:rPr>
          <w:rStyle w:val="VerbatimChar"/>
        </w:rPr>
        <w:t xml:space="preserve">CM-EXPORTED-DOC-VISUALLY-VALIDATED</w:t>
      </w:r>
      <w:r>
        <w:t xml:space="preserve"> </w:t>
      </w:r>
      <w:r>
        <w:t xml:space="preserve">(every exported document in the §11.4.65 scope carries an independent-validation marker — produced by a validator structurally separate from the generator — asserting the three layers PASS on the exported artifact, with captured rendered-artifact evidence; the validator is self-validated by a golden-good/golden-bad fixture pair) + paired §1.1 meta-test mutation (strip the literal</w:t>
      </w:r>
      <w:r>
        <w:t xml:space="preserve"> </w:t>
      </w:r>
      <w:r>
        <w:rPr>
          <w:rStyle w:val="VerbatimChar"/>
        </w:rPr>
        <w:t xml:space="preserve">11.4.168</w:t>
      </w:r>
      <w:r>
        <w:t xml:space="preserve"> </w:t>
      </w:r>
      <w:r>
        <w:t xml:space="preserve">→ propagation gate FAILs; produce a PDF/HTML/DOCX containing raw diagram source — e.g. raw Mermaid</w:t>
      </w:r>
      <w:r>
        <w:t xml:space="preserve"> </w:t>
      </w:r>
      <w:r>
        <w:rPr>
          <w:rStyle w:val="VerbatimChar"/>
        </w:rPr>
        <w:t xml:space="preserve">gantt</w:t>
      </w:r>
      <w:r>
        <w:t xml:space="preserve"> </w:t>
      </w:r>
      <w:r>
        <w:t xml:space="preserve">lines — as body text and assert the gate catches it →</w:t>
      </w:r>
      <w:r>
        <w:t xml:space="preserve"> </w:t>
      </w:r>
      <w:r>
        <w:rPr>
          <w:rStyle w:val="VerbatimChar"/>
        </w:rPr>
        <w:t xml:space="preserve">CM-EXPORTED-DOC-VISUALLY-VALIDATED</w:t>
      </w:r>
      <w:r>
        <w:t xml:space="preserve"> </w:t>
      </w:r>
      <w:r>
        <w:t xml:space="preserve">FAILs; feed the validator its golden-bad fixture → self-validation FAILs; gate-code = separate work item).</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§11.4.168. Non-compliance is a release blocker regardless of context.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 exists.</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bookmarkEnd w:id="31"/>
    <w:bookmarkStart w:id="32" w:name="X327985557fb0a56c99c66cb2fed640a8d874897"/>
    <w:p>
      <w:pPr>
        <w:pStyle w:val="Heading3"/>
      </w:pPr>
      <w:r>
        <w:t xml:space="preserve">§11.4.212 — Main README is the canonical starting-point / entry point for ALL project documentation — no doc may be an orphan unreachable from README (User mandate, 2026-07-16)</w:t>
      </w:r>
    </w:p>
    <w:p>
      <w:pPr>
        <w:pStyle w:val="FirstParagraph"/>
      </w:pPr>
      <w:r>
        <w:rPr>
          <w:b/>
          <w:bCs/>
        </w:rPr>
        <w:t xml:space="preserve">Verbatim operator mandate (2026-07-16):</w:t>
      </w:r>
      <w:r>
        <w:t xml:space="preserve"> </w:t>
      </w:r>
      <w:r>
        <w:t xml:space="preserve">"Manual tests catalog must have linking all through the main README as the starting point of this and any other Project documentation! This fact and mandatory rule MUST be added into the constitution."</w:t>
      </w:r>
    </w:p>
    <w:p>
      <w:pPr>
        <w:pStyle w:val="BodyText"/>
      </w:pPr>
      <w:r>
        <w:t xml:space="preserve">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This is the STRICT GENERALISATION of §11.4.57: §11.4.57 mandated a</w:t>
      </w:r>
      <w:r>
        <w:t xml:space="preserve"> </w:t>
      </w:r>
      <w:r>
        <w:rPr>
          <w:rStyle w:val="VerbatimChar"/>
        </w:rPr>
        <w:t xml:space="preserve">Tracked-Items + Status Documents</w:t>
      </w:r>
      <w:r>
        <w:t xml:space="preserve"> </w:t>
      </w:r>
      <w:r>
        <w:t xml:space="preserve">doc-link section in the README covering the tracker / status doc set; §11.4.212 extends the same reachability guarantee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 A doc no path reaches is an orphan.</w:t>
      </w:r>
      <w:r>
        <w:t xml:space="preserve"> </w:t>
      </w:r>
      <w:r>
        <w:rPr>
          <w:b/>
          <w:bCs/>
        </w:rPr>
        <w:t xml:space="preserve">(B) Always-sync (§11.4.59 / §11.4.106 docs-chain).</w:t>
      </w:r>
      <w:r>
        <w:t xml:space="preserve"> </w:t>
      </w:r>
      <w:r>
        <w:t xml:space="preserve">The README doc-graph is kept current mechanically — 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is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w:t>
      </w:r>
    </w:p>
    <w:p>
      <w:pPr>
        <w:pStyle w:val="BodyText"/>
      </w:pPr>
      <w:r>
        <w:rPr>
          <w:b/>
          <w:bCs/>
        </w:rPr>
        <w:t xml:space="preserve">(E) README INTRODUCTION + ILLUSTRATION (extension, 2026-08-15).</w:t>
      </w:r>
      <w:r>
        <w:t xml:space="preserve"> </w:t>
      </w:r>
      <w:r>
        <w:t xml:space="preserve">The main README MUST open with a SHORT introduction (what the project is, who it is for, its current state at a glance — the reader's 30-second answer) AND MUST ILLUSTRATE all work done: for every major capability the project ships, the README carries either a direct summary paragraph OR a link to a detailed document explaining WHAT was done AND WHY it was done (never orphaned links, never "see the changelog" as the only explanation). Every linked document MUST justify its own existence in one sentence at the link site — a link with no "why this matters" is a §11.4.212(E) violation of §11.4.91 summary-clarity severity at the entry-point layer.</w:t>
      </w:r>
    </w:p>
    <w:p>
      <w:pPr>
        <w:pStyle w:val="BodyText"/>
      </w:pPr>
      <w:r>
        <w:rPr>
          <w:b/>
          <w:bCs/>
        </w:rPr>
        <w:t xml:space="preserve">(F) LINKAGE-COMPLETENESS RATCHET (extension, 2026-08-15).</w:t>
      </w:r>
      <w:r>
        <w:t xml:space="preserve"> </w:t>
      </w:r>
      <w:r>
        <w:t xml:space="preserve">The reachability graph from README (transitively per (A)) MUST cover the full §11.4.65-scope doc-set enumeration with a monotone-decreasing UNREACHED count (mirrors the §11.4.135 ratchet pattern); a §11.4.65-scope doc that is not reachable from README at pre-build/release seams FAILs the extended</w:t>
      </w:r>
      <w:r>
        <w:t xml:space="preserve"> </w:t>
      </w:r>
      <w:r>
        <w:rPr>
          <w:rStyle w:val="VerbatimChar"/>
        </w:rPr>
        <w:t xml:space="preserve">CM-README-DOC-ENTRYPOINT-COMPLETE</w:t>
      </w:r>
      <w:r>
        <w:t xml:space="preserve"> </w:t>
      </w:r>
      <w:r>
        <w:t xml:space="preserve">gate; brownfield adoption per operator §11.4.66 (§11.4.224(E) fence). The existing</w:t>
      </w:r>
      <w:r>
        <w:t xml:space="preserve"> </w:t>
      </w:r>
      <w:r>
        <w:rPr>
          <w:rStyle w:val="VerbatimChar"/>
        </w:rPr>
        <w:t xml:space="preserve">CM-COVENANT-114-212-PROPAGATION</w:t>
      </w:r>
      <w:r>
        <w:t xml:space="preserve"> </w:t>
      </w:r>
      <w:r>
        <w:t xml:space="preserve">gate stays unchanged (literal</w:t>
      </w:r>
      <w:r>
        <w:t xml:space="preserve"> </w:t>
      </w:r>
      <w:r>
        <w:rPr>
          <w:rStyle w:val="VerbatimChar"/>
        </w:rPr>
        <w:t xml:space="preserve">11.4.212</w:t>
      </w:r>
      <w:r>
        <w:t xml:space="preserve"> </w:t>
      </w:r>
      <w:r>
        <w:t xml:space="preserve">unchanged, propagation stays GREEN);</w:t>
      </w:r>
      <w:r>
        <w:t xml:space="preserve"> </w:t>
      </w:r>
      <w:r>
        <w:rPr>
          <w:rStyle w:val="VerbatimChar"/>
        </w:rPr>
        <w:t xml:space="preserve">CM-README-DOC-ENTRYPOINT-COMPLETE</w:t>
      </w:r>
      <w:r>
        <w:t xml:space="preserve"> </w:t>
      </w:r>
      <w:r>
        <w:t xml:space="preserve">is EXTENDED with clauses (E)/(F); a new paired mutation strips the introduction, OR removes a "why this matters" annotation, OR breaks reachability of an in-scope doc → the extended gate FAILs.</w:t>
      </w:r>
    </w:p>
    <w:p>
      <w:pPr>
        <w:pStyle w:val="BodyText"/>
      </w:pPr>
      <w:r>
        <w:t xml:space="preserve">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w:t>
      </w:r>
      <w:r>
        <w:t xml:space="preserve">across the consumer fleet) + recommended gate</w:t>
      </w:r>
      <w:r>
        <w:t xml:space="preserve"> </w:t>
      </w:r>
      <w:r>
        <w:rPr>
          <w:rStyle w:val="VerbatimChar"/>
        </w:rPr>
        <w:t xml:space="preserve">CM-README-DOC-ENTRYPOINT-COMPLETE</w:t>
      </w:r>
      <w:r>
        <w:t xml:space="preserve"> </w:t>
      </w:r>
      <w:r>
        <w:t xml:space="preserve">(every §11.4.65-scope document is reachable — directly or transitively — from the main README; the manual-tests catalog is linked) + paired §1.1 meta-test mutation (orphan an in-scope doc so no README path reaches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§11.4.212.</w:t>
      </w:r>
    </w:p>
    <w:p>
      <w:pPr>
        <w:pStyle w:val="BodyText"/>
      </w:pPr>
      <w:r>
        <w:t xml:space="preserve">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bookmarkEnd w:id="32"/>
    <w:bookmarkStart w:id="33" w:name="X2833ec5601233b4caf12ae7060b7dbf58ccbc26"/>
    <w:p>
      <w:pPr>
        <w:pStyle w:val="Heading3"/>
      </w:pPr>
      <w:r>
        <w:t xml:space="preserve">§11.4.215 — A doc that BINDS work MUST live, tracked, in the repository where that work happens (research-derived, 2026-07-17)</w:t>
      </w:r>
    </w:p>
    <w:p>
      <w:pPr>
        <w:pStyle w:val="FirstParagraph"/>
      </w:pPr>
      <w:r>
        <w:rPr>
          <w:b/>
          <w:bCs/>
        </w:rPr>
        <w:t xml:space="preserve">Forensic anchor (genericised, 2026-07-17).</w:t>
      </w:r>
      <w:r>
        <w:t xml:space="preserve"> </w:t>
      </w:r>
      <w:r>
        <w:t xml:space="preserve">In a consuming project, the document that DEFINED a binding acceptance gate — the gate a body of work was ordered to satisfy before proceeding — was</w:t>
      </w:r>
      <w:r>
        <w:t xml:space="preserve"> </w:t>
      </w:r>
      <w:r>
        <w:rPr>
          <w:b/>
          <w:bCs/>
        </w:rPr>
        <w:t xml:space="preserve">untracked</w:t>
      </w:r>
      <w:r>
        <w:t xml:space="preserve"> </w:t>
      </w:r>
      <w:r>
        <w:t xml:space="preserve">and lived in an out-of-tree scratch directory belonging to a different working checkout, i.e. it existed in NO repository and in no other agent's or operator's checkout. The gate could therefore not be honoured (agents could not read it), not be reviewed (no diff, no history, no authorship), not be version-controlled (no revision, no rollback, no §11.4.44 header), and not be reconciled when it contradicted the source of truth. A binding artifact that lives nowhere is not governance — it is a rumour with an imperative mood, and work ordered against it cannot be verified against it by anyone but the one process that happened to hold the file.</w:t>
      </w:r>
    </w:p>
    <w:p>
      <w:pPr>
        <w:pStyle w:val="BodyText"/>
      </w:pPr>
      <w:r>
        <w:rPr>
          <w:b/>
          <w:bCs/>
        </w:rPr>
        <w:t xml:space="preserve">The mandate.</w:t>
      </w:r>
      <w:r>
        <w:t xml:space="preserve"> </w:t>
      </w:r>
      <w:r>
        <w:t xml:space="preserve">Any document that BINDS work — one that defines a gate or acceptance criterion, states a contract the work is judged against, or carries a plan/order the work is required to satisfy — MUST be tracked, in the repository where that work happens, at a declared path, BEFORE it may be cited as binding.</w:t>
      </w:r>
      <w:r>
        <w:t xml:space="preserve"> </w:t>
      </w:r>
      <w:r>
        <w:rPr>
          <w:b/>
          <w:bCs/>
        </w:rPr>
        <w:t xml:space="preserve">(1) BINDING ⇒ TRACKED, and un-tracked ⇒ NOT BINDING.</w:t>
      </w:r>
      <w:r>
        <w:t xml:space="preserve"> </w:t>
      </w:r>
      <w:r>
        <w:t xml:space="preserve">A binding claim sourced from an untracked or out-of-tree document MUST NOT be enforced against any work; the correct response to "the gate is defined in a file nobody can read" is to land the document (or decline the gate), never to obey a citation of it.</w:t>
      </w:r>
      <w:r>
        <w:t xml:space="preserve"> </w:t>
      </w:r>
      <w:r>
        <w:rPr>
          <w:b/>
          <w:bCs/>
        </w:rPr>
        <w:t xml:space="preserve">(2) IN THE REPOSITORY THE WORK HAPPENS IN.</w:t>
      </w:r>
      <w:r>
        <w:t xml:space="preserve"> </w:t>
      </w:r>
      <w:r>
        <w:t xml:space="preserve">Tracked in a sibling checkout, a scratch directory, a chat message, an issue comment, or a personal note is NOT tracked for this purpose — the test is whether an agent or operator who clones ONLY the repo the work happens in can read the binding text at its declared path. Where a binding doc must govern several repositories, it is inherited BY REFERENCE from a shared, tracked, version-controlled dependency (§11.4.28 / §11.4.177), never copied and never left out-of-tree.</w:t>
      </w:r>
      <w:r>
        <w:t xml:space="preserve"> </w:t>
      </w:r>
      <w:r>
        <w:rPr>
          <w:b/>
          <w:bCs/>
        </w:rPr>
        <w:t xml:space="preserve">(3) THIS IS THE PRIOR QUESTION §11.4.212 CANNOT ASK.</w:t>
      </w:r>
      <w:r>
        <w:t xml:space="preserve"> </w:t>
      </w:r>
      <w:r>
        <w:t xml:space="preserve">§11.4.212 mandates that every doc in the export scope be README-reachable — but its check ENUMERATES the in-repo scope and asserts each member is reachable, so a document that exists in no checkout is never enumerated and the gate cannot FAIL on it. §11.4.212 answers "is it findable?"; §11.4.215 answers "is it here at all?". Once a binding doc is in the repo, §11.4.212 (reachable from the README), §11.4.44 (revision header), §11.4.65/§11.4.73 (exports), and §11.4.106 (kept in sync) all attach to it as normal — this anchor is their precondition, not their competitor.</w:t>
      </w:r>
      <w:r>
        <w:t xml:space="preserve"> </w:t>
      </w:r>
      <w:r>
        <w:rPr>
          <w:b/>
          <w:bCs/>
        </w:rPr>
        <w:t xml:space="preserve">(4) THE GENERALISATION OF §11.4.95.</w:t>
      </w:r>
      <w:r>
        <w:t xml:space="preserve"> </w:t>
      </w:r>
      <w:r>
        <w:t xml:space="preserve">§11.4.95 is this exact rule scoped to ONE named artifact: an authoritative tracker database is TRACKED, NEVER gitignored, "NOT a build artefact, it IS authoritative source data", as an explicit named carve-out from the gitignore rule. §11.4.215 widens the artifact class from that one file to</w:t>
      </w:r>
      <w:r>
        <w:t xml:space="preserve"> </w:t>
      </w:r>
      <w:r>
        <w:rPr>
          <w:b/>
          <w:bCs/>
        </w:rPr>
        <w:t xml:space="preserve">any doc that binds work</w:t>
      </w:r>
      <w:r>
        <w:t xml:space="preserve">, exactly as §11.4.212 was minted as the strict generalisation of §11.4.57. §11.4.11 is the counterweight and stays intact: logs, forensic captures, and scratch artifacts remain out-of-tree and untracked by default — §11.4.215 does NOT track them, and a doc's being untracked is only a defect once it is CITED as binding. That is the discriminator:</w:t>
      </w:r>
      <w:r>
        <w:t xml:space="preserve"> </w:t>
      </w:r>
      <w:r>
        <w:rPr>
          <w:b/>
          <w:bCs/>
        </w:rPr>
        <w:t xml:space="preserve">binding is what pulls a document into the repository</w:t>
      </w:r>
      <w:r>
        <w:t xml:space="preserve">, and a document nobody cites as binding is governed by §11.4.11, not by this anchor.</w:t>
      </w:r>
    </w:p>
    <w:p>
      <w:pPr>
        <w:pStyle w:val="BodyText"/>
      </w:pPr>
      <w:r>
        <w:rPr>
          <w:b/>
          <w:bCs/>
        </w:rPr>
        <w:t xml:space="preserve">Honest boundary (§11.4.6).</w:t>
      </w:r>
      <w:r>
        <w:t xml:space="preserve"> </w:t>
      </w:r>
      <w:r>
        <w:t xml:space="preserve">In-repo presence proves the binding text is AVAILABLE, ATTRIBUTABLE, and VERSION-CONTROLLED — it proves nothing about whether the text is CORRECT, current, or self-consistent (those remain §11.4.44 / §11.4.106 / §11.4.186), and nothing about whether the gate it defines is well-seated (that is §11.4.120's seam-placement clause, whose forensic case was defined by this same out-of-tree document — the two defects were carried by one artifact, which is itself the argument that an unreviewable binding doc is where bad gates hide).</w:t>
      </w:r>
    </w:p>
    <w:p>
      <w:pPr>
        <w:pStyle w:val="BodyText"/>
      </w:pPr>
      <w:r>
        <w:t xml:space="preserve">Classification: universal (§11.4.17) — references no project-specific hardware, vendor, or layout; the consuming project supplies its repository, its declared paths for binding docs, and its shared-dependency mechanism per §11.4.35. Composes §11.4.11 / §11.4.28 / §11.4.30 / §11.4.35 / §11.4.44 / §11.4.57 / §11.4.65 / §11.4.73 / §11.4.95 / §11.4.106 / §11.4.120 / §11.4.177 / §11.4.186 / §11.4.197 / §11.4.212. Propagation gate</w:t>
      </w:r>
      <w:r>
        <w:t xml:space="preserve"> </w:t>
      </w:r>
      <w:r>
        <w:rPr>
          <w:rStyle w:val="VerbatimChar"/>
        </w:rPr>
        <w:t xml:space="preserve">CM-COVENANT-114-215-PROPAGATION</w:t>
      </w:r>
      <w:r>
        <w:t xml:space="preserve"> </w:t>
      </w:r>
      <w:r>
        <w:t xml:space="preserve">(literal</w:t>
      </w:r>
      <w:r>
        <w:t xml:space="preserve"> </w:t>
      </w:r>
      <w:r>
        <w:rPr>
          <w:rStyle w:val="VerbatimChar"/>
        </w:rPr>
        <w:t xml:space="preserve">11.4.215</w:t>
      </w:r>
      <w:r>
        <w:t xml:space="preserve">) + recommended gate</w:t>
      </w:r>
      <w:r>
        <w:t xml:space="preserve"> </w:t>
      </w:r>
      <w:r>
        <w:rPr>
          <w:rStyle w:val="VerbatimChar"/>
        </w:rPr>
        <w:t xml:space="preserve">CM-BINDING-DOC-IN-REPO</w:t>
      </w:r>
      <w:r>
        <w:t xml:space="preserve"> </w:t>
      </w:r>
      <w:r>
        <w:t xml:space="preserve">(every doc cited as binding by a gate, order, or acceptance contract resolves to a tracked path in the repository the work happens in — or is inherited by reference from a tracked shared dependency; a binding citation resolving to an untracked or out-of-tree path FAILs) + paired §1.1 mutation (move a binding doc out of the tree, or untrack it, while a gate still cites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§11.4.215.</w:t>
      </w:r>
    </w:p>
    <w:p>
      <w:pPr>
        <w:pStyle w:val="BodyText"/>
      </w:pPr>
      <w:r>
        <w:t xml:space="preserve">Non-compliance is a release blocker regardless of context. No escape hatch — no</w:t>
      </w:r>
      <w:r>
        <w:t xml:space="preserve"> </w:t>
      </w:r>
      <w:r>
        <w:rPr>
          <w:rStyle w:val="VerbatimChar"/>
        </w:rPr>
        <w:t xml:space="preserve">--binding-doc-out-of-tree</w:t>
      </w:r>
      <w:r>
        <w:t xml:space="preserve">,</w:t>
      </w:r>
      <w:r>
        <w:t xml:space="preserve"> </w:t>
      </w:r>
      <w:r>
        <w:rPr>
          <w:rStyle w:val="VerbatimChar"/>
        </w:rPr>
        <w:t xml:space="preserve">--untracked-gate-definition</w:t>
      </w:r>
      <w:r>
        <w:t xml:space="preserve">,</w:t>
      </w:r>
      <w:r>
        <w:t xml:space="preserve"> </w:t>
      </w:r>
      <w:r>
        <w:rPr>
          <w:rStyle w:val="VerbatimChar"/>
        </w:rPr>
        <w:t xml:space="preserve">--cite-doc-nobody-can-read</w:t>
      </w:r>
      <w:r>
        <w:t xml:space="preserve">,</w:t>
      </w:r>
      <w:r>
        <w:t xml:space="preserve"> </w:t>
      </w:r>
      <w:r>
        <w:rPr>
          <w:rStyle w:val="VerbatimChar"/>
        </w:rPr>
        <w:t xml:space="preserve">--scratch-dir-is-good-enough</w:t>
      </w:r>
      <w:r>
        <w:t xml:space="preserve">,</w:t>
      </w:r>
      <w:r>
        <w:t xml:space="preserve"> </w:t>
      </w:r>
      <w:r>
        <w:rPr>
          <w:rStyle w:val="VerbatimChar"/>
        </w:rPr>
        <w:t xml:space="preserve">--binding-by-rumour</w:t>
      </w:r>
      <w:r>
        <w:t xml:space="preserve"> </w:t>
      </w:r>
      <w:r>
        <w:t xml:space="preserve">flag exists.</w:t>
      </w:r>
    </w:p>
    <w:bookmarkEnd w:id="33"/>
    <w:bookmarkStart w:id="34" w:name="X8eb6157541e08ca571af989128ab06cbbda21b4"/>
    <w:p>
      <w:pPr>
        <w:pStyle w:val="Heading3"/>
      </w:pPr>
      <w:r>
        <w:t xml:space="preserve">§11.4.257 — Comprehensive user-manual + guide + FAQ coverage: every component / service / feature / user-visible workflow ships an operator-usable manual, task-oriented guide, and FAQ, always in sync, no orphan capability (BACKGROUND :: REMINDER :: IMPORTANT operator mandate, 2026-08-15)</w:t>
      </w:r>
    </w:p>
    <w:p>
      <w:pPr>
        <w:pStyle w:val="FirstParagraph"/>
      </w:pPr>
      <w:r>
        <w:rPr>
          <w:b/>
          <w:bCs/>
        </w:rPr>
        <w:t xml:space="preserve">Verbatim operator mandate (2026-08-15, Point 1):</w:t>
      </w:r>
      <w:r>
        <w:t xml:space="preserve"> </w:t>
      </w:r>
      <w:r>
        <w:rPr>
          <w:i/>
          <w:iCs/>
        </w:rPr>
        <w:t xml:space="preserve">"Whole project and all work done MUST BE fully covered with full user manuals and guides and properly created FAQs."</w:t>
      </w:r>
    </w:p>
    <w:p>
      <w:pPr>
        <w:pStyle w:val="BodyText"/>
      </w:pPr>
      <w:r>
        <w:rPr>
          <w:b/>
          <w:bCs/>
        </w:rPr>
        <w:t xml:space="preserve">Compact summary:</w:t>
      </w:r>
      <w:r>
        <w:t xml:space="preserve"> </w:t>
      </w:r>
      <w:r>
        <w:t xml:space="preserve">every consuming project MUST cover the WHOLE project (every component, service, subsystem, binary, container, plugin, feature, and user-visible workflow) with three cooperating documentation classes — (a) a complete USER MANUAL per component/service/product, (b) task-oriented GUIDES for every user-facing workflow, and (c) properly-created FAQs derived from real operator/QA/end-user questions — always in sync with the shipped code, always exported per §11.4.65, always reachable from README per §11.4.212, always regenerated via Docs-Chain per §11.4.106, and always tracked as workable items when incomplete per §11.4.197; a component / service / feature that ships without its trio of docs (manual + guide + FAQ) is a §11.4.257 violation of §11.4 PASS-bluff severity at the documentation layer (the feature ships to a user who cannot use it because nothing tells them how; the §11.4 anti-bluff covenant extended to documentation completeness). §11.4.257 GENERALISES §11.4.18 (script docs — a single class of executable artifact) and §11.4.153 (per-feature Status set — a status not a manual) into the full three-class documentation floor for every user-facing surface, and BINDS §11.4.212 (README entry point) + §11.4.106 (Docs-Chain sync) + §11.4.65 (four-format export) into the always-in-sync guarantee.</w:t>
      </w:r>
    </w:p>
    <w:p>
      <w:pPr>
        <w:pStyle w:val="BodyText"/>
      </w:pPr>
      <w:r>
        <w:rPr>
          <w:b/>
          <w:bCs/>
        </w:rPr>
        <w:t xml:space="preserve">(A) COMPREHENSIVE COVERAGE — no orphan capability.</w:t>
      </w:r>
      <w:r>
        <w:t xml:space="preserve"> </w:t>
      </w:r>
      <w:r>
        <w:t xml:space="preserve">Every component / service / subsystem / binary / plugin / user-visible feature enumerated in the project's shipped surface (the §11.4.153 feature Status roster or its equivalent SSoT) MUST map to at least ONE user manual (component-level operator reference), at least ONE task-oriented guide per user workflow that surface exposes, and one FAQ entry per real recurring question captured from operators / QA / end-users. A capability the project ships that no manual documents, no guide covers, and no FAQ addresses is UNSHIPPABLE regardless of how well the code works — the user has no path to use it.</w:t>
      </w:r>
    </w:p>
    <w:p>
      <w:pPr>
        <w:pStyle w:val="BodyText"/>
      </w:pPr>
      <w:r>
        <w:rPr>
          <w:b/>
          <w:bCs/>
        </w:rPr>
        <w:t xml:space="preserve">(B) THREE DISTINCT DOCUMENT CLASSES, none substitutes another.</w:t>
      </w:r>
      <w:r>
        <w:t xml:space="preserve"> </w:t>
      </w:r>
      <w:r>
        <w:t xml:space="preserve">(a) USER MANUAL — the component's operator reference: what it is, what it does, its inputs/outputs/env vars/config/ports/dependencies, its start/stop/status commands, its logs/metrics/health surface, its failure modes and their remediation; complete enough that an operator can run + supervise + debug it without reading the source. (b) GUIDES — task-oriented, workflow-shaped documents, one per user-facing workflow (setup, configuration, integration, migration, troubleshooting, security-hardening); each guide walks the user through a real journey, with prerequisites, step-by-step commands, expected output at each step, verification checkpoints, and rollback path. (c) FAQs — questions PROPERLY CREATED from real recurring signal (operator questions, QA reports, end-user tickets, agent-found-defect narratives), NEVER fabricated marketing FAQ; every entry cites the question source class + resolution + link to the manual/guide section that owns the durable answer.</w:t>
      </w:r>
    </w:p>
    <w:p>
      <w:pPr>
        <w:pStyle w:val="BodyText"/>
      </w:pPr>
      <w:r>
        <w:rPr>
          <w:b/>
          <w:bCs/>
        </w:rPr>
        <w:t xml:space="preserve">(C) ALWAYS IN SYNC.</w:t>
      </w:r>
      <w:r>
        <w:t xml:space="preserve"> </w:t>
      </w:r>
      <w:r>
        <w:t xml:space="preserve">Every doc carries the §11.4.44 revision header; Docs-Chain (§11.4.106) is bound at commit / build / constitution-pull write-seams so an edited component whose docs are stale REFUSES the commit; four-format export per §11.4.65 (.md + .html + .pdf, + .docx where the class warrants — the §11.4.153 exception); every doc reachable transitively from README per §11.4.212. FAQ entries that describe now-fixed defects are RETAINED with a "resolved in vN.N.N" note (they answer the user asking "why did this happen to me"), never silently deleted.</w:t>
      </w:r>
    </w:p>
    <w:p>
      <w:pPr>
        <w:pStyle w:val="BodyText"/>
      </w:pPr>
      <w:r>
        <w:rPr>
          <w:b/>
          <w:bCs/>
        </w:rPr>
        <w:t xml:space="preserve">(D) TRACKABLE COMPLETION.</w:t>
      </w:r>
      <w:r>
        <w:t xml:space="preserve"> </w:t>
      </w:r>
      <w:r>
        <w:t xml:space="preserve">Missing docs are §11.4.197 items (research/kicked-off-work completion mandate) — an undocumented capability is an un-wired requirement whose loss is FORBIDDEN; the workable-items DB (§11.4.93/.95) carries per-surface docs-status rows so "what is documented / what is not" is a live query, never a periodic manual audit.</w:t>
      </w:r>
    </w:p>
    <w:p>
      <w:pPr>
        <w:pStyle w:val="BodyText"/>
      </w:pPr>
      <w:r>
        <w:rPr>
          <w:b/>
          <w:bCs/>
        </w:rPr>
        <w:t xml:space="preserve">(E) HONESTY.</w:t>
      </w:r>
      <w:r>
        <w:t xml:space="preserve"> </w:t>
      </w:r>
      <w:r>
        <w:t xml:space="preserve">Where a genuine gap exists (a new capability whose docs are in flight), it is HONESTLY MARKED at both the README entry point + the component's Status.md (§11.4.153) as</w:t>
      </w:r>
      <w:r>
        <w:t xml:space="preserve"> </w:t>
      </w:r>
      <w:r>
        <w:rPr>
          <w:rStyle w:val="VerbatimChar"/>
        </w:rPr>
        <w:t xml:space="preserve">[DOC-PENDING: &lt;tracker-id&gt;]</w:t>
      </w:r>
      <w:r>
        <w:t xml:space="preserve"> </w:t>
      </w:r>
      <w:r>
        <w:t xml:space="preserve">per the §11.4.223 provenance-marker discipline, NEVER silently omitted, NEVER faked with a placeholder paragraph that says nothing (a fake-doc is a §11.4 PASS-bluff at the documentation layer — an operator reads it, learns nothing, and thinks they read the doc).</w:t>
      </w:r>
    </w:p>
    <w:p>
      <w:pPr>
        <w:pStyle w:val="BodyText"/>
      </w:pPr>
      <w:r>
        <w:rPr>
          <w:b/>
          <w:bCs/>
        </w:rPr>
        <w:t xml:space="preserve">Honest boundary (§11.4.6).</w:t>
      </w:r>
      <w:r>
        <w:t xml:space="preserve"> </w:t>
      </w:r>
      <w:r>
        <w:t xml:space="preserve">§11.4.257 mandates the DOCUMENTATION EXISTS, is IN SYNC, and is REACHABLE; it does NOT verify the doc is CORRECT in every semantic detail — that stays §11.4.99 (latest-source cross-reference) + §11.4.194 (exhaustive review including doc content) + §11.4.238 (any operator-found doc gap is a coverage-escape triggering a §11.4.138-family audit). "Comprehensive" is bounded to the shipped-surface enumeration; an internal implementation detail with no user-facing exposure has no user-manual obligation (documentation of it lives under §11.4.18 script/source class or design docs, not this anchor).</w:t>
      </w:r>
    </w:p>
    <w:p>
      <w:pPr>
        <w:pStyle w:val="BodyText"/>
      </w:pPr>
      <w:r>
        <w:rPr>
          <w:b/>
          <w:bCs/>
        </w:rPr>
        <w:t xml:space="preserve">Classification: universal (§11.4.17).</w:t>
      </w:r>
      <w:r>
        <w:t xml:space="preserve"> </w:t>
      </w:r>
      <w:r>
        <w:t xml:space="preserve">Composes §11.4.11 / §11.4.18 / §11.4.44 / §11.4.65 / §11.4.86 / §11.4.99 / §11.4.106 / §11.4.148 / §11.4.153 / §11.4.194 / §11.4.197 / §11.4.208 / §11.4.212 / §11.4.223 / §11.4.238. Propagation gate</w:t>
      </w:r>
      <w:r>
        <w:t xml:space="preserve"> </w:t>
      </w:r>
      <w:r>
        <w:rPr>
          <w:rStyle w:val="VerbatimChar"/>
        </w:rPr>
        <w:t xml:space="preserve">CM-COVENANT-114-257-PROPAGATION</w:t>
      </w:r>
      <w:r>
        <w:t xml:space="preserve"> </w:t>
      </w:r>
      <w:r>
        <w:t xml:space="preserve">(literal</w:t>
      </w:r>
      <w:r>
        <w:t xml:space="preserve"> </w:t>
      </w:r>
      <w:r>
        <w:rPr>
          <w:rStyle w:val="VerbatimChar"/>
        </w:rPr>
        <w:t xml:space="preserve">11.4.257</w:t>
      </w:r>
      <w:r>
        <w:t xml:space="preserve">) +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r>
        <w:pict>
          <v:rect style="width:0;height:1.5pt" o:hralign="center" o:hrstd="t" o:hr="t"/>
        </w:pict>
      </w:r>
    </w:p>
    <w:bookmarkEnd w:id="34"/>
    <w:bookmarkStart w:id="35" w:name="X5a0e8adfd935b406c4a3e45358a8ace46523663"/>
    <w:p>
      <w:pPr>
        <w:pStyle w:val="Heading3"/>
      </w:pPr>
      <w:r>
        <w:t xml:space="preserve">§11.4.258 — Architectural + data-flow + state-machine + sequence-diagram coverage: every project ships accurate, exported, machine-derivable-or-honestly-authored diagrams embedded into the docs that describe the system (BACKGROUND :: REMINDER :: IMPORTANT operator mandate, 2026-08-15)</w:t>
      </w:r>
    </w:p>
    <w:p>
      <w:pPr>
        <w:pStyle w:val="FirstParagraph"/>
      </w:pPr>
      <w:r>
        <w:rPr>
          <w:b/>
          <w:bCs/>
        </w:rPr>
        <w:t xml:space="preserve">Verbatim operator mandate (2026-08-15, Point 2):</w:t>
      </w:r>
      <w:r>
        <w:t xml:space="preserve"> </w:t>
      </w:r>
      <w:r>
        <w:rPr>
          <w:i/>
          <w:iCs/>
        </w:rPr>
        <w:t xml:space="preserve">"Whole project MUST BE fully covered with properly created graphs, diagrams, schemes which will be incorporated into all existing documentation."</w:t>
      </w:r>
    </w:p>
    <w:p>
      <w:pPr>
        <w:pStyle w:val="BodyText"/>
      </w:pPr>
      <w:r>
        <w:rPr>
          <w:b/>
          <w:bCs/>
        </w:rPr>
        <w:t xml:space="preserve">Compact summary:</w:t>
      </w:r>
      <w:r>
        <w:t xml:space="preserve"> </w:t>
      </w:r>
      <w:r>
        <w:t xml:space="preserve">every consuming project MUST cover the WHOLE project with properly created graphs / diagrams / schemes across the FOUR canonical diagram classes — (a) SYSTEM ARCHITECTURE (services, containers, ports, dependencies, deployment topology), (b) DATA FLOW (how information moves between components, storage, external systems), (c) STATE MACHINE (lifecycle of every stateful entity: workable items, orchestrator sessions, long-ops, agents, deploys), (d) SEQUENCE (per critical user workflow and per critical cross-component protocol) — INCORPORATED into the existing documentation surface (README, user manuals per §11.4.257, guides, Status docs per §11.4.153, design docs per §11.4.218/§11.4.219) at the natural point of use, NEVER a lone diagram directory nobody opens; every diagram is (i) exported in a scale-appropriate open format (SVG for structural diagrams; PNG for raster fallback; the source in a diffable text form — Mermaid, PlantUML, D2, or a diffable SVG source — §11.4.220 open-first, never a proprietary-tool-only master), (ii) rendered non-blank + non-degenerate + accurate (the §11.4.107(10) analyzer discipline applied to diagrams — a rendered blank / mislabelled / truncated diagram is a §11.4/§11.4.1 bluff at the visual-doc layer), (iii) reachable from README per §11.4.212, and (iv) in sync via §11.4.106 Docs-Chain so a code change that invalidates a diagram REFUSES the commit until the diagram is updated. §11.4.258 STRENGTHENS §11.4.218 (design-library catalogue — components not architecture) and §11.4.219 (screen catalogues — UI IA not system topology) from design-side coverage into whole-project documentation-side diagram coverage.</w:t>
      </w:r>
    </w:p>
    <w:p>
      <w:pPr>
        <w:pStyle w:val="BodyText"/>
      </w:pPr>
      <w:r>
        <w:rPr>
          <w:b/>
          <w:bCs/>
        </w:rPr>
        <w:t xml:space="preserve">(A) FOUR-CLASS COVERAGE.</w:t>
      </w:r>
      <w:r>
        <w:t xml:space="preserve"> </w:t>
      </w:r>
      <w:r>
        <w:t xml:space="preserve">(a) ARCHITECTURE — the deployed / deployable topology: every service, container, binary, port, external dependency, host boundary, network boundary, storage boundary; kept true to the actual</w:t>
      </w:r>
      <w:r>
        <w:t xml:space="preserve"> </w:t>
      </w:r>
      <w:r>
        <w:rPr>
          <w:rStyle w:val="VerbatimChar"/>
        </w:rPr>
        <w:t xml:space="preserve">docker-compose.yml</w:t>
      </w:r>
      <w:r>
        <w:t xml:space="preserve"> </w:t>
      </w:r>
      <w:r>
        <w:t xml:space="preserve">/ deployment manifest / running system. (b) DATA FLOW — how information (user request, event, credential, artifact, evidence) traverses the system: source → transformation → sink; each edge annotated with format + protocol + trust boundary. (c) STATE MACHINE — the lifecycle of every stateful entity the system manages: workable items (§11.4.15), long-ops (§11.4.232), orchestrator sessions (§11.4.187), agents (§11.4.147), deploy artifacts (§11.4.108), builds; transitions labelled with the triggering event and the guard that gates it. (d) SEQUENCE — one diagram per critical user workflow and per critical cross-component protocol; actors + messages + return paths + failure branches, not only the happy path.</w:t>
      </w:r>
    </w:p>
    <w:p>
      <w:pPr>
        <w:pStyle w:val="BodyText"/>
      </w:pPr>
      <w:r>
        <w:rPr>
          <w:b/>
          <w:bCs/>
        </w:rPr>
        <w:t xml:space="preserve">(B) INCORPORATION — never orphan.</w:t>
      </w:r>
      <w:r>
        <w:t xml:space="preserve"> </w:t>
      </w:r>
      <w:r>
        <w:t xml:space="preserve">Each diagram lives at the point of use (architecture diagram in README +</w:t>
      </w:r>
      <w:r>
        <w:t xml:space="preserve"> </w:t>
      </w:r>
      <w:r>
        <w:rPr>
          <w:rStyle w:val="VerbatimChar"/>
        </w:rPr>
        <w:t xml:space="preserve">docs/ARCHITECTURE.md</w:t>
      </w:r>
      <w:r>
        <w:t xml:space="preserve">; per-service data-flow embedded in that service's user manual per §11.4.257; state-machine embedded in the doc that owns the state; sequence diagram in the guide for the workflow it depicts); a</w:t>
      </w:r>
      <w:r>
        <w:t xml:space="preserve"> </w:t>
      </w:r>
      <w:r>
        <w:rPr>
          <w:rStyle w:val="VerbatimChar"/>
        </w:rPr>
        <w:t xml:space="preserve">docs/diagrams/</w:t>
      </w:r>
      <w:r>
        <w:t xml:space="preserve"> </w:t>
      </w:r>
      <w:r>
        <w:t xml:space="preserve">gallery may exist as an index, but the load-bearing appearance is EMBEDDED into the doc where the reader needs it, per §11.4.212 reachability.</w:t>
      </w:r>
    </w:p>
    <w:p>
      <w:pPr>
        <w:pStyle w:val="BodyText"/>
      </w:pPr>
      <w:r>
        <w:rPr>
          <w:b/>
          <w:bCs/>
        </w:rPr>
        <w:t xml:space="preserve">(C) OPEN + DIFFABLE.</w:t>
      </w:r>
      <w:r>
        <w:t xml:space="preserve"> </w:t>
      </w:r>
      <w:r>
        <w:t xml:space="preserve">Sources in diffable text (Mermaid / PlantUML / D2 / diffable SVG), NEVER proprietary-tool-only masters (§11.4.220); rendered outputs committed alongside sources so a reader without the render toolchain still sees the diagram; renderers §11.4.201-probed before use, absent-tool ⇒ §11.4.3 SKIP-with-reason not a fake output (§11.4.222 export-wave discipline applied here).</w:t>
      </w:r>
    </w:p>
    <w:p>
      <w:pPr>
        <w:pStyle w:val="BodyText"/>
      </w:pPr>
      <w:r>
        <w:rPr>
          <w:b/>
          <w:bCs/>
        </w:rPr>
        <w:t xml:space="preserve">(D) ACCURACY VERIFICATION.</w:t>
      </w:r>
      <w:r>
        <w:t xml:space="preserve"> </w:t>
      </w:r>
      <w:r>
        <w:t xml:space="preserve">Every diagram is rendered non-blank + non-degenerate + accurate: a probe render exists (a Mermaid parse-check; an SVG geometry check; a §11.4.107(10) golden-good vs golden-bad-with-drift fixture for the derived-from-code diagrams); a diagram whose depicted service list, port map, or state set diverges from the SSoT (compose file, workable-items schema, orchestrator registry) is caught by a §11.4.86-fingerprint diff on the SSoT + a stale-diagram audit run at pre-build; the Docs-Chain (§11.4.106) refuses a commit that changes an SSoT without an accompanying diagram refresh where a mapped diagram exists.</w:t>
      </w:r>
    </w:p>
    <w:p>
      <w:pPr>
        <w:pStyle w:val="BodyText"/>
      </w:pPr>
      <w:r>
        <w:rPr>
          <w:b/>
          <w:bCs/>
        </w:rPr>
        <w:t xml:space="preserve">(E) DERIVED-WHERE-POSSIBLE.</w:t>
      </w:r>
      <w:r>
        <w:t xml:space="preserve"> </w:t>
      </w:r>
      <w:r>
        <w:t xml:space="preserve">Prefer derived / generated diagrams over hand-drawn where the source data exists: a compose-file-driven architecture diagram, a schema-driven state machine, a route-table-driven sequence; hand-drawn diagrams (for user-journey narratives, conceptual overviews) are LABELED as such with an authored-date and reconciled against the SSoT at each release round.</w:t>
      </w:r>
    </w:p>
    <w:p>
      <w:pPr>
        <w:pStyle w:val="BodyText"/>
      </w:pPr>
      <w:r>
        <w:rPr>
          <w:b/>
          <w:bCs/>
        </w:rPr>
        <w:t xml:space="preserve">Honest boundary (§11.4.6).</w:t>
      </w:r>
      <w:r>
        <w:t xml:space="preserve"> </w:t>
      </w:r>
      <w:r>
        <w:t xml:space="preserve">§11.4.258 mandates the diagrams EXIST, are ACCURATE against their SSoT, are EMBEDDED, and are RENDERED HONESTLY; it does NOT claim every possible diagram class is required for every project (an internal library with no runtime deployment has no ARCHITECTURE diagram in the deployment sense — it ships its module-dependency diagram in that class's place). Bounded to the WHOLE-PROJECT coverage the mandate names.</w:t>
      </w:r>
    </w:p>
    <w:p>
      <w:pPr>
        <w:pStyle w:val="BodyText"/>
      </w:pPr>
      <w:r>
        <w:rPr>
          <w:b/>
          <w:bCs/>
        </w:rPr>
        <w:t xml:space="preserve">Classification: universal (§11.4.17).</w:t>
      </w:r>
      <w:r>
        <w:t xml:space="preserve"> </w:t>
      </w:r>
      <w:r>
        <w:t xml:space="preserve">Composes §11.4.6 / §11.4.65 / §11.4.86 / §11.4.106 / §11.4.107(10) / §11.4.153 / §11.4.201 / §11.4.212 / §11.4.216 / §11.4.218 / §11.4.219 / §11.4.220 / §11.4.222 / §11.4.223 / §11.4.257. Propagation gate</w:t>
      </w:r>
      <w:r>
        <w:t xml:space="preserve"> </w:t>
      </w:r>
      <w:r>
        <w:rPr>
          <w:rStyle w:val="VerbatimChar"/>
        </w:rPr>
        <w:t xml:space="preserve">CM-COVENANT-114-258-PROPAGATION</w:t>
      </w:r>
      <w:r>
        <w:t xml:space="preserve"> </w:t>
      </w:r>
      <w:r>
        <w:t xml:space="preserve">(literal</w:t>
      </w:r>
      <w:r>
        <w:t xml:space="preserve"> </w:t>
      </w:r>
      <w:r>
        <w:rPr>
          <w:rStyle w:val="VerbatimChar"/>
        </w:rPr>
        <w:t xml:space="preserve">11.4.258</w:t>
      </w:r>
      <w:r>
        <w:t xml:space="preserve">) +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r>
        <w:pict>
          <v:rect style="width:0;height:1.5pt" o:hralign="center" o:hrstd="t" o:hr="t"/>
        </w:pict>
      </w:r>
    </w:p>
    <w:bookmarkEnd w:id="35"/>
    <w:bookmarkStart w:id="36" w:name="X6a379dd6c1ebcb7a3f79ec3cfb73468a4362da5"/>
    <w:p>
      <w:pPr>
        <w:pStyle w:val="Heading3"/>
      </w:pPr>
      <w:r>
        <w:t xml:space="preserve">§11.4.259 — README quality-status badge row: at the top of every project README, a comprehensive row of quality badges with a closed green→amber→red vocabulary, each backed by machine-derived source data, illustrating quality and production-readiness in one glance (BACKGROUND :: REMINDER :: IMPORTANT operator mandate, 2026-08-15)</w:t>
      </w:r>
    </w:p>
    <w:p>
      <w:pPr>
        <w:pStyle w:val="FirstParagraph"/>
      </w:pPr>
      <w:r>
        <w:rPr>
          <w:b/>
          <w:bCs/>
        </w:rPr>
        <w:t xml:space="preserve">Verbatim operator mandate (2026-08-15, Point 5):</w:t>
      </w:r>
      <w:r>
        <w:t xml:space="preserve"> </w:t>
      </w:r>
      <w:r>
        <w:rPr>
          <w:i/>
          <w:iCs/>
        </w:rPr>
        <w:t xml:space="preserve">"We MUST ADD at the top of the main README all possible badges with coloring from green (ok) to red (not ok) for all possible areas of work done to the project illustrating quality of work done and how close are we to deploying this project to full production."</w:t>
      </w:r>
    </w:p>
    <w:p>
      <w:pPr>
        <w:pStyle w:val="BodyText"/>
      </w:pPr>
      <w:r>
        <w:rPr>
          <w:b/>
          <w:bCs/>
        </w:rPr>
        <w:t xml:space="preserve">Compact summary:</w:t>
      </w:r>
      <w:r>
        <w:t xml:space="preserve"> </w:t>
      </w:r>
      <w:r>
        <w:t xml:space="preserve">every consuming project MUST render, at the TOP of the main README (immediately below the H1, above the introduction — the reader's first visual signal), a comprehensive BADGE ROW carrying every applicable quality signal with a CLOSED color vocabulary from GREEN (ok) through AMBER (attention) to RED (not ok) — plus a "production-readiness" gauge that summarises how close the project is to full production deployment — with EVERY badge backed by MACHINE-DERIVED source data (never a hand-typed color-of-the-day, §11.4.6 no-guessing at the status-report layer); a project whose README lacks the badge row, or carries badges whose colors are fabricated / stale / not backed by real source data, is a §11.4.259 violation of §11.4 PASS-bluff severity at the reader-first-impression layer (an operator glances at the README and gets a green picture of a broken project). §11.4.259 EXTENDS §11.4.57 (README doc-link section) with a symmetric BADGE section at the same first-visible-position privilege, and BINDS §11.4.106 (Docs-Chain sync — badges regenerate on every state change) + §11.4.86 (fingerprint-driven sync — badge data derived from the SSoT the badge refers to) + §11.4.201 (guards must assert the real condition — a badge is a guard for the reader's eye).</w:t>
      </w:r>
    </w:p>
    <w:p>
      <w:pPr>
        <w:pStyle w:val="BodyText"/>
      </w:pPr>
      <w:r>
        <w:rPr>
          <w:b/>
          <w:bCs/>
        </w:rPr>
        <w:t xml:space="preserve">(A) CLOSED COLOR VOCABULARY.</w:t>
      </w:r>
      <w:r>
        <w:t xml:space="preserve"> </w:t>
      </w:r>
      <w:r>
        <w:t xml:space="preserve">GREEN = healthy at target (all constraints met, no findings); AMBER = attention (metric on-target but degrading, or off-target within acceptable band, or blocked on a tracked follow-up); RED = not ok (metric off-target beyond acceptable band, a §11.4.108 gate failing, a §11.4.135 uncovered guard, an open release-blocker); optional GRAY = N/A (badge class does not apply to this project) with an inline note explaining why. NO other colors, NO other verdicts, NO "yellow" or "orange" or "beta" gradations — the closed vocabulary is the operator's cognitive contract with the badge row.</w:t>
      </w:r>
    </w:p>
    <w:p>
      <w:pPr>
        <w:pStyle w:val="BodyText"/>
      </w:pPr>
      <w:r>
        <w:rPr>
          <w:b/>
          <w:bCs/>
        </w:rPr>
        <w:t xml:space="preserve">(B) BADGE CLASS FLOOR — every applicable area covered.</w:t>
      </w:r>
      <w:r>
        <w:t xml:space="preserve"> </w:t>
      </w:r>
      <w:r>
        <w:t xml:space="preserve">The MINIMUM set every consuming project ships (adding project-specific badges as consumer-supplied §11.4.35 DATA is welcome, subtraction is not): (1) BUILD status (last build green/red, artifact fingerprint); (2) TEST-BREADTH per §11.4.27/§11.4.169 (unit/integration/e2e/full-automation/security/performance/anti-bluff — one badge per type, or a rollup with a click-through detail per §11.4.224); (3) CODE COVERAGE per §11.4.224 (measured %, green ≥ target, amber ≥ ratchet-floor, red below); (4) SECURITY POSTURE per §11.4.184 SonarQube scanner + supply-chain integrity per §11.4.246 (reproducible + hermetic builds + SLSA Build Level 2 as fleet-wide minimum); (5) DOCUMENTATION completeness per §11.4.257 (fraction of shipped surfaces with the required manual + guide + FAQ trio); (6) DIAGRAM completeness per §11.4.258 (fraction of shipped surfaces with the required diagram set, non-stale); (7) LIVE HEALTH where applicable (uptime / SLO / recent-crash-rate); (8) OPEN DEFECTS per §11.4.15 (Queued + In-progress + Reopened counts, most-reopened highlighted per §11.4.189); (9) SUPPLY-CHAIN integrity level per §11.4.246 (the SLSA Build Level tracked in</w:t>
      </w:r>
      <w:r>
        <w:t xml:space="preserve"> </w:t>
      </w:r>
      <w:r>
        <w:rPr>
          <w:rStyle w:val="VerbatimChar"/>
        </w:rPr>
        <w:t xml:space="preserve">docs/security/SLSA_LEVEL.md</w:t>
      </w:r>
      <w:r>
        <w:t xml:space="preserve">, fleet-wide minimum L2); (10) ZERO-SHORTCOMINGS status per §11.4.261 (audit-sweep verdict); (11) MACHINE-EVIDENCE COVERAGE per §11.4.262 (fraction of PASS claims with captured evidence paths); (12) PRODUCTION READINESS gauge (see clause (D)).</w:t>
      </w:r>
    </w:p>
    <w:p>
      <w:pPr>
        <w:pStyle w:val="BodyText"/>
      </w:pPr>
      <w:r>
        <w:rPr>
          <w:b/>
          <w:bCs/>
        </w:rPr>
        <w:t xml:space="preserve">(C) MACHINE-DERIVED SOURCE DATA.</w:t>
      </w:r>
      <w:r>
        <w:t xml:space="preserve"> </w:t>
      </w:r>
      <w:r>
        <w:t xml:space="preserve">Every badge's color + value is COMPUTED from a live source of truth, NEVER hand-typed. Every badge PROVENANCE — the exact source path/query/build id — is embedded in the badge tooltip OR a companion</w:t>
      </w:r>
      <w:r>
        <w:t xml:space="preserve"> </w:t>
      </w:r>
      <w:r>
        <w:rPr>
          <w:rStyle w:val="VerbatimChar"/>
        </w:rPr>
        <w:t xml:space="preserve">docs/BADGES.md</w:t>
      </w:r>
      <w:r>
        <w:t xml:space="preserve"> </w:t>
      </w:r>
      <w:r>
        <w:t xml:space="preserve">provenance table. A badge whose provenance is</w:t>
      </w:r>
      <w:r>
        <w:t xml:space="preserve"> </w:t>
      </w:r>
      <w:r>
        <w:rPr>
          <w:rStyle w:val="VerbatimChar"/>
        </w:rPr>
        <w:t xml:space="preserve">hand-typed</w:t>
      </w:r>
      <w:r>
        <w:t xml:space="preserve"> </w:t>
      </w:r>
      <w:r>
        <w:t xml:space="preserve">fails §11.4.259.</w:t>
      </w:r>
    </w:p>
    <w:p>
      <w:pPr>
        <w:pStyle w:val="BodyText"/>
      </w:pPr>
      <w:r>
        <w:rPr>
          <w:b/>
          <w:bCs/>
        </w:rPr>
        <w:t xml:space="preserve">(D) PRODUCTION-READINESS GAUGE.</w:t>
      </w:r>
      <w:r>
        <w:t xml:space="preserve"> </w:t>
      </w:r>
      <w:r>
        <w:t xml:space="preserve">A composite badge — GREEN when every clause-(B) badge is GREEN AND no §11.4.185 manual-QA blocker is open AND no §11.4.260 production-readiness criterion is unmet; AMBER when one or more badges are AMBER but no RED and no blocker; RED when any badge is RED or any blocker is open. The gauge is the operator's one-glance answer to "can we deploy this to production?" and its color is BINDING on the release decision — a RED gauge is a release-blocker (§11.4.108 layer 4 + §11.4.129 huge-blocker family + §11.4.185 manual-QA + §11.4.236 QA-deploy-readiness).</w:t>
      </w:r>
    </w:p>
    <w:p>
      <w:pPr>
        <w:pStyle w:val="BodyText"/>
      </w:pPr>
      <w:r>
        <w:rPr>
          <w:b/>
          <w:bCs/>
        </w:rPr>
        <w:t xml:space="preserve">(E) ALWAYS IN SYNC.</w:t>
      </w:r>
      <w:r>
        <w:t xml:space="preserve"> </w:t>
      </w:r>
      <w:r>
        <w:t xml:space="preserve">Badges regenerate on every state change (build completion, test run, defect open/close, doc change, release cut) via §11.4.106 Docs-Chain at the same write-seams that regenerate the rest of the doc surface; a stale badge (color no longer reflects source data) is a §11.4.229 in-sync violation at the reader-facing layer.</w:t>
      </w:r>
    </w:p>
    <w:p>
      <w:pPr>
        <w:pStyle w:val="BodyText"/>
      </w:pPr>
      <w:r>
        <w:rPr>
          <w:b/>
          <w:bCs/>
        </w:rPr>
        <w:t xml:space="preserve">(F) BADGE SELF-VALIDATED.</w:t>
      </w:r>
      <w:r>
        <w:t xml:space="preserve"> </w:t>
      </w:r>
      <w:r>
        <w:t xml:space="preserve">The badge-computer is a guard (§11.4.201): golden-GREEN fixture MUST render GREEN, golden-RED fixture MUST render RED, golden-AMBER MUST render AMBER; a badge-computer that PASSes its golden-RED fixture is the §11.4 bluff itself and a release-blocker. Paired §1.1 mutation flips the golden-RED source data and confirms the badge flips.</w:t>
      </w:r>
    </w:p>
    <w:p>
      <w:pPr>
        <w:pStyle w:val="BodyText"/>
      </w:pPr>
      <w:r>
        <w:rPr>
          <w:b/>
          <w:bCs/>
        </w:rPr>
        <w:t xml:space="preserve">Honest boundary (§11.4.6).</w:t>
      </w:r>
      <w:r>
        <w:t xml:space="preserve"> </w:t>
      </w:r>
      <w:r>
        <w:t xml:space="preserve">§11.4.259 mandates every applicable badge is PRESENT + accurately derived; it does NOT claim green badges prove the project is bug-free (badges are necessary-not-sufficient, mirroring the §11.4.224 metric-validation family); a project whose badge row is HONESTLY red is compliant with §11.4.259 (the reader gets the truth) even while it fails other release gates. A badge class that GENUINELY does not apply is GRAY-labeled with a reason, never omitted (silence-as-badge is a §11.4.201(6) FALSE-NULL — the reader assumes green because they see nothing red).</w:t>
      </w:r>
    </w:p>
    <w:p>
      <w:pPr>
        <w:pStyle w:val="BodyText"/>
      </w:pPr>
      <w:r>
        <w:rPr>
          <w:b/>
          <w:bCs/>
        </w:rPr>
        <w:t xml:space="preserve">Classification: universal (§11.4.17)</w:t>
      </w:r>
      <w:r>
        <w:t xml:space="preserve"> </w:t>
      </w:r>
      <w:r>
        <w:t xml:space="preserve">— badge PALETTE + AT-TOP-OF-README placement + closed color vocabulary + machine-derived + production-readiness gauge are universal; the SPECIFIC badge palette per project is consumer-owned §11.4.35 DATA. Composes §11.4.6 / §11.4.15 / §11.4.27 / §11.4.44 / §11.4.57 / §11.4.86 / §11.4.93 / §11.4.106 / §11.4.108 / §11.4.129 / §11.4.135 / §11.4.169 / §11.4.184 / §11.4.185 / §11.4.189 / §11.4.201 / §11.4.212 / §11.4.223 / §11.4.224 / §11.4.229 / §11.4.236 / §11.4.238 / §11.4.257 / §11.4.258 / §11.4.260 / §11.4.261 / §11.4.262. Propagation gate</w:t>
      </w:r>
      <w:r>
        <w:t xml:space="preserve"> </w:t>
      </w:r>
      <w:r>
        <w:rPr>
          <w:rStyle w:val="VerbatimChar"/>
        </w:rPr>
        <w:t xml:space="preserve">CM-COVENANT-114-259-PROPAGATION</w:t>
      </w:r>
      <w:r>
        <w:t xml:space="preserve"> </w:t>
      </w:r>
      <w:r>
        <w:t xml:space="preserve">(literal</w:t>
      </w:r>
      <w:r>
        <w:t xml:space="preserve"> </w:t>
      </w:r>
      <w:r>
        <w:rPr>
          <w:rStyle w:val="VerbatimChar"/>
        </w:rPr>
        <w:t xml:space="preserve">11.4.259</w:t>
      </w:r>
      <w:r>
        <w:t xml:space="preserve">) +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r>
        <w:pict>
          <v:rect style="width:0;height:1.5pt" o:hralign="center" o:hrstd="t" o:hr="t"/>
        </w:pict>
      </w:r>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 Target="Constitution.md" TargetMode="External" /><Relationship Type="http://schemas.openxmlformats.org/officeDocument/2006/relationships/hyperlink" Id="rId27" Target="https://core.telegram.org/api/obtaining_api_id" TargetMode="External" /></Relationships>
</file>

<file path=word/_rels/footnotes.xml.rels><?xml version="1.0" encoding="UTF-8"?><Relationships xmlns="http://schemas.openxmlformats.org/package/2006/relationships"><Relationship Type="http://schemas.openxmlformats.org/officeDocument/2006/relationships/hyperlink" Id="rId19" Target="Constitution.md" TargetMode="External" /><Relationship Type="http://schemas.openxmlformats.org/officeDocument/2006/relationships/hyperlink" Id="rId27" Target="https://core.telegram.org/api/obtaining_api_i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2026-09-26T11:41:03Z</dcterms:created>
  <dcterms:modified xsi:type="dcterms:W3CDTF">2026-09-26T11:41:03Z</dcterms:modified>
</cp:coreProperties>
</file>

<file path=docProps/custom.xml><?xml version="1.0" encoding="utf-8"?>
<Properties xmlns="http://schemas.openxmlformats.org/officeDocument/2006/custom-properties" xmlns:vt="http://schemas.openxmlformats.org/officeDocument/2006/docPropsVTypes"/>
</file>