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translation-and-localization"/>
    <w:p>
      <w:pPr>
        <w:pStyle w:val="Heading1"/>
      </w:pPr>
      <w:r>
        <w:t xml:space="preserve">Translation And Localization</w:t>
      </w:r>
    </w:p>
    <w:bookmarkStart w:id="10" w:name="X837f25d6f7050b93f7f9e79dc9d82a1c08c8d36"/>
    <w:p>
      <w:pPr>
        <w:pStyle w:val="Heading3"/>
      </w:pPr>
      <w: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FirstParagraph"/>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§11.4.140's canonical translation pipeline (the HelixTranslate-canonical-translation-pipeline sense of that anchor number) nor §11.4.141's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§11.4.140 (canonical translation pipeline) / §11.4.141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bookmarkEnd w:id="10"/>
    <w:bookmarkStart w:id="12" w:name="X21917bc8c247e8e91a939a54ce7928d6f3e570b"/>
    <w:p>
      <w:pPr>
        <w:pStyle w:val="Heading3"/>
      </w:pPr>
      <w:r>
        <w:t xml:space="preserve">§11.4.255 — Mandatory HelixTranslate canonical translation pipeline (User mandate, 2026-06-25)</w:t>
      </w:r>
    </w:p>
    <w:p>
      <w:pPr>
        <w:pStyle w:val="FirstParagraph"/>
      </w:pPr>
      <w:r>
        <w:rPr>
          <w:b/>
          <w:bCs/>
        </w:rPr>
        <w:t xml:space="preserve">Forensic anchor — verbatim user mandate (2026-06-25):</w:t>
      </w:r>
      <w:r>
        <w:t xml:space="preserve"> </w:t>
      </w:r>
      <w:r>
        <w:t xml:space="preserve">"Every project that inherits this constitution MUST use HelixTranslate (</w:t>
      </w:r>
      <w:hyperlink r:id="rId11">
        <w:r>
          <w:rPr>
            <w:rStyle w:val="Hyperlink"/>
          </w:rPr>
          <w:t xml:space="preserve">git@github.com</w:t>
        </w:r>
      </w:hyperlink>
      <w:r>
        <w:t xml:space="preserve">:HelixDevelopment/HelixTranslate.git) — via a universal, reusable pipeline — to generate ANY translations it needs. This is a hard rule/constraint."</w:t>
      </w:r>
    </w:p>
    <w:p>
      <w:pPr>
        <w:pStyle w:val="BodyText"/>
      </w:pPr>
      <w:r>
        <w:t xml:space="preserve">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w:t>
      </w:r>
      <w:r>
        <w:t xml:space="preserve"> </w:t>
      </w:r>
      <w:r>
        <w:rPr>
          <w:b/>
          <w:bCs/>
        </w:rPr>
        <w:t xml:space="preserve">canonical universal translation pipeline</w:t>
      </w:r>
      <w:r>
        <w:t xml:space="preserve"> </w:t>
      </w:r>
      <w:r>
        <w:t xml:space="preserve">shipped in this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This is a hard, non-negotiable constraint.</w:t>
      </w:r>
    </w:p>
    <w:p>
      <w:pPr>
        <w:pStyle w:val="BodyText"/>
      </w:pPr>
      <w:r>
        <w:t xml:space="preserve">The following are FORBIDDEN and constitute a §11.4.255 violation:</w:t>
      </w:r>
    </w:p>
    <w:p>
      <w:pPr>
        <w:pStyle w:val="BodyText"/>
      </w:pPr>
      <w:r>
        <w:t xml:space="preserve">(a)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w:t>
      </w:r>
    </w:p>
    <w:p>
      <w:pPr>
        <w:pStyle w:val="BodyText"/>
      </w:pPr>
      <w:r>
        <w:t xml:space="preserve">(b)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w:t>
      </w:r>
    </w:p>
    <w:p>
      <w:pPr>
        <w:pStyle w:val="BodyText"/>
      </w:pPr>
      <w:r>
        <w:t xml:space="preserve">(c)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 / §11.4.1). On exhaustion of all configured providers the pipeline MUST FAIL LOUD (non-zero exit, destination NOT written) so the caller detects it; a missing translation is a hard error, never a degraded-but-shipped string. Provider-to-provider failover WITHIN HelixTranslate (primary → fallback, with logged, evidenced retries) is NOT a silent fallback and is permitted; falling back to ANY non-HelixTranslate source is forbidden.</w:t>
      </w:r>
    </w:p>
    <w:p>
      <w:pPr>
        <w:pStyle w:val="BodyText"/>
      </w:pPr>
      <w:r>
        <w:rPr>
          <w:b/>
          <w:bCs/>
        </w:rPr>
        <w:t xml:space="preserve">Mandatory validation.</w:t>
      </w:r>
      <w:r>
        <w:t xml:space="preserve"> </w:t>
      </w:r>
      <w:r>
        <w:t xml:space="preserve">Every generated translation MUST be validated for accuracy with real (physical) captured evidence per §11.4.5 / §11.4.69 / §11.4.107 — no metadata-only / config-only / grep-without-runtime PASS (§11.4 / §11.4.1), no false results, no bluff of any kind (§11.4.6). The per-file run log (provider used, byte counts, retries, success/failure) is the evidence artifact; an unvalidated or unevidenced translation is treated as ABSENT.</w:t>
      </w:r>
    </w:p>
    <w:p>
      <w:pPr>
        <w:pStyle w:val="BodyText"/>
      </w:pPr>
      <w:r>
        <w:rPr>
          <w:b/>
          <w:bCs/>
        </w:rPr>
        <w:t xml:space="preserve">Explicit provider routing.</w:t>
      </w:r>
      <w:r>
        <w:t xml:space="preserve"> </w:t>
      </w:r>
      <w:r>
        <w:t xml:space="preserve">Provider + model routing MUST be explicit and recorded —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Any deviation from the canonical routing MUST be stated explicitly in configuration and logged.</w:t>
      </w:r>
    </w:p>
    <w:p>
      <w:pPr>
        <w:pStyle w:val="BodyText"/>
      </w:pPr>
      <w:r>
        <w:rPr>
          <w:b/>
          <w:bCs/>
        </w:rPr>
        <w:t xml:space="preserve">Canonical pipeline location.</w:t>
      </w:r>
      <w:r>
        <w:t xml:space="preserve"> </w:t>
      </w:r>
      <w:r>
        <w:rPr>
          <w:rStyle w:val="VerbatimChar"/>
        </w:rPr>
        <w:t xml:space="preserve">scripts/translation/translate-pipeline.sh</w:t>
      </w:r>
      <w:r>
        <w:t xml:space="preserve"> </w:t>
      </w:r>
      <w:r>
        <w:t xml:space="preserve">(universal Markdown / plain-text + article-frontmatter-preserving translator) and</w:t>
      </w:r>
      <w:r>
        <w:t xml:space="preserve"> </w:t>
      </w:r>
      <w:r>
        <w:rPr>
          <w:rStyle w:val="VerbatimChar"/>
        </w:rPr>
        <w:t xml:space="preserve">scripts/translation/render-articles.sh</w:t>
      </w:r>
      <w:r>
        <w:t xml:space="preserve"> </w:t>
      </w:r>
      <w:r>
        <w:t xml:space="preserve">(article-source → HTML fragment renderer). Both are reusable verbatim across projects; the engine binary is supplied by the consuming project via</w:t>
      </w:r>
      <w:r>
        <w:t xml:space="preserve"> </w:t>
      </w:r>
      <w:r>
        <w:rPr>
          <w:rStyle w:val="VerbatimChar"/>
        </w:rPr>
        <w:t xml:space="preserve">HELIX_TRANSLATE_BIN</w:t>
      </w:r>
      <w:r>
        <w:t xml:space="preserve"> </w:t>
      </w:r>
      <w:r>
        <w:t xml:space="preserve">and built from the HelixTranslate repository.</w:t>
      </w:r>
    </w:p>
    <w:p>
      <w:pPr>
        <w:pStyle w:val="BodyText"/>
      </w:pPr>
      <w:r>
        <w:t xml:space="preserve">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p>
    <w:p>
      <w:pPr>
        <w:pStyle w:val="BodyText"/>
      </w:pPr>
      <w:r>
        <w:rPr>
          <w:b/>
          <w:bCs/>
        </w:rPr>
        <w:t xml:space="preserve">Rationale.</w:t>
      </w:r>
      <w:r>
        <w:t xml:space="preserve"> </w:t>
      </w:r>
      <w:r>
        <w:t xml:space="preserve">A single, evidenced, fail-loud translation engine guarantees that every translated string in the fleet has a known provenance, a reproducible pipeline, and a captured accuracy proof — eliminating the silent drift, inconsistent quality, and untraceable "where did this string come from" failures that hand-translation and ad-hoc engines produce. One engine, one pipeline, one evidence trail.</w:t>
      </w:r>
    </w:p>
    <w:p>
      <w:pPr>
        <w:pStyle w:val="BodyText"/>
      </w:pPr>
      <w:r>
        <w:rPr>
          <w:b/>
          <w:bCs/>
        </w:rPr>
        <w:t xml:space="preserve">Canonical authority:</w:t>
      </w:r>
      <w:r>
        <w:t xml:space="preserve"> </w:t>
      </w:r>
      <w:r>
        <w:t xml:space="preserve">this Constitution.md §11.4.255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r>
        <w:pict>
          <v:rect style="width:0;height:1.5pt" o:hralign="center" o:hrstd="t" o:hr="t"/>
        </w:pict>
      </w:r>
    </w:p>
    <w:bookmarkEnd w:id="12"/>
    <w:bookmarkStart w:id="13" w:name="X66627de0c78a30fa0a0a0f2ce4cb4937550210b"/>
    <w:p>
      <w:pPr>
        <w:pStyle w:val="Heading3"/>
      </w:pPr>
      <w:r>
        <w:t xml:space="preserve">§11.4.256 — Mandatory independent per-language translation review (User mandate, 2026-06-25)</w:t>
      </w:r>
    </w:p>
    <w:p>
      <w:pPr>
        <w:pStyle w:val="FirstParagraph"/>
      </w:pPr>
      <w:r>
        <w:rPr>
          <w:b/>
          <w:bCs/>
        </w:rPr>
        <w:t xml:space="preserve">Forensic anchor — verbatim user mandate (2026-06-25):</w:t>
      </w:r>
      <w:r>
        <w:t xml:space="preserve"> </w:t>
      </w:r>
      <w:r>
        <w:t xml:space="preserve">"Quality of translations for all languages MUST BE ALWAYS properly checked and reviewed! We MUST CREATE independent, specialized translations review agents for all languages we support which will be performing full testing, review, validation and verification for all translated content! This MUST BE mandatory part of our root constitution (Submodule) and followed as mandatory constraint / rule by this and all our projects implementing the constitution Submodule."</w:t>
      </w:r>
    </w:p>
    <w:p>
      <w:pPr>
        <w:pStyle w:val="BodyText"/>
      </w:pPr>
      <w:r>
        <w:t xml:space="preserve">Every translated artifact produced under §11.4.255 MUST, before it is shipped / committed / deployed, be INDEPENDENTLY REVIEWED for quality by a per-language review agent. This is a hard, non-negotiable gate that composes with — and never replaces — the §11.4.255 generation mandate.</w:t>
      </w:r>
    </w:p>
    <w:p>
      <w:pPr>
        <w:pStyle w:val="BodyText"/>
      </w:pPr>
      <w:r>
        <w:t xml:space="preserve">Requirements:</w:t>
      </w:r>
    </w:p>
    <w:p>
      <w:pPr>
        <w:pStyle w:val="BodyText"/>
      </w:pPr>
      <w:r>
        <w:t xml:space="preserve">(a)</w:t>
      </w:r>
      <w:r>
        <w:t xml:space="preserve"> </w:t>
      </w:r>
      <w:r>
        <w:rPr>
          <w:b/>
          <w:bCs/>
        </w:rPr>
        <w:t xml:space="preserve">Independence.</w:t>
      </w:r>
      <w:r>
        <w:t xml:space="preserve"> </w:t>
      </w:r>
      <w:r>
        <w:t xml:space="preserve">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w:t>
      </w:r>
    </w:p>
    <w:p>
      <w:pPr>
        <w:pStyle w:val="BodyText"/>
      </w:pPr>
      <w:r>
        <w:t xml:space="preserve">(b)</w:t>
      </w:r>
      <w:r>
        <w:t xml:space="preserve"> </w:t>
      </w:r>
      <w:r>
        <w:rPr>
          <w:b/>
          <w:bCs/>
        </w:rPr>
        <w:t xml:space="preserve">Per-language specialization.</w:t>
      </w:r>
      <w:r>
        <w:t xml:space="preserve"> </w:t>
      </w:r>
      <w:r>
        <w:t xml:space="preserve">The reviewer MUST act as a NATIVE speaker / linguistic reviewer of the SPECIFIC target language, evaluating that language's grammar, orthography, and correct script (Cyrillic for ru/be/kk, Arabic for ar/fa, Han/Kana/Hangul/Devanagari for zh/ja/ko/hi, Latin for sr/de/es/fr/tr, etc.).</w:t>
      </w:r>
    </w:p>
    <w:p>
      <w:pPr>
        <w:pStyle w:val="BodyText"/>
      </w:pPr>
      <w:r>
        <w:t xml:space="preserve">(c)</w:t>
      </w:r>
      <w:r>
        <w:t xml:space="preserve"> </w:t>
      </w:r>
      <w:r>
        <w:rPr>
          <w:b/>
          <w:bCs/>
        </w:rPr>
        <w:t xml:space="preserve">Full criteria.</w:t>
      </w:r>
      <w:r>
        <w:t xml:space="preserve"> </w:t>
      </w:r>
      <w:r>
        <w:t xml:space="preserve">Each review MUST judge: accuracy/fidelity, fluency/naturalness, completeness (nothing omitted or invented), correct script &amp; orthography, and absence of untranslated source leftovers (proper nouns / URLs / code excepted).</w:t>
      </w:r>
    </w:p>
    <w:p>
      <w:pPr>
        <w:pStyle w:val="BodyText"/>
      </w:pPr>
      <w:r>
        <w:t xml:space="preserve">(d)</w:t>
      </w:r>
      <w:r>
        <w:t xml:space="preserve"> </w:t>
      </w:r>
      <w:r>
        <w:rPr>
          <w:b/>
          <w:bCs/>
        </w:rPr>
        <w:t xml:space="preserve">Strict machine-readable verdict + evidence.</w:t>
      </w:r>
      <w:r>
        <w:t xml:space="preserve"> </w:t>
      </w:r>
      <w:r>
        <w:t xml:space="preserve">Each review MUST emit a structured PASS/FAIL verdict with per-criterion scores and an issues list, persisted as a physical evidence artifact (§11.4.5 / §11.4.69 / §11.4.107). A FAIL — or an ERROR / unavailable-reviewer — BLOCKS the content; only a real PASS may ship. No metadata-only / absence-of-error PASS (§11.4 / §11.4.1); no bluff (§11.4.6).</w:t>
      </w:r>
    </w:p>
    <w:p>
      <w:pPr>
        <w:pStyle w:val="BodyText"/>
      </w:pPr>
      <w:r>
        <w:t xml:space="preserve">(e)</w:t>
      </w:r>
      <w:r>
        <w:t xml:space="preserve"> </w:t>
      </w:r>
      <w:r>
        <w:rPr>
          <w:b/>
          <w:bCs/>
        </w:rPr>
        <w:t xml:space="preserve">Remediation loop.</w:t>
      </w:r>
      <w:r>
        <w:t xml:space="preserve"> </w:t>
      </w:r>
      <w:r>
        <w:t xml:space="preserve">A FAIL routes the artifact back through the §11.4.255 pipeline (re-translate / multipass-polish) and is re-reviewed, iterating until PASS — never hand-patched to pass (hand-translation remains forbidden under §11.4.255).</w:t>
      </w:r>
    </w:p>
    <w:p>
      <w:pPr>
        <w:pStyle w:val="BodyText"/>
      </w:pPr>
      <w:r>
        <w:rPr>
          <w:b/>
          <w:bCs/>
        </w:rPr>
        <w:t xml:space="preserve">Canonical tooling.</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supplies its source/translation file pairs and a reviewer provider DISTINCT from its translator.</w:t>
      </w:r>
    </w:p>
    <w:p>
      <w:pPr>
        <w:pStyle w:val="BodyText"/>
      </w:pPr>
      <w:r>
        <w:t xml:space="preserve">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p>
    <w:p>
      <w:pPr>
        <w:pStyle w:val="BodyText"/>
      </w:pPr>
      <w:r>
        <w:rPr>
          <w:b/>
          <w:bCs/>
        </w:rPr>
        <w:t xml:space="preserve">Rationale.</w:t>
      </w:r>
      <w:r>
        <w:t xml:space="preserve"> </w:t>
      </w:r>
      <w:r>
        <w:t xml:space="preserve">§11.4.255 guarantees a translation's provenance and a fail-loud pipeline, but not its linguistic quality. An independent, native-level, per-language reviewer with a captured PASS/FAIL verdict is what turns "a string was produced" into "a string was verified correct" — making translation quality an auditable fact rather than an assumption.</w:t>
      </w:r>
    </w:p>
    <w:p>
      <w:pPr>
        <w:pStyle w:val="BodyText"/>
      </w:pPr>
      <w:r>
        <w:rPr>
          <w:b/>
          <w:bCs/>
        </w:rPr>
        <w:t xml:space="preserve">Canonical authority:</w:t>
      </w:r>
      <w:r>
        <w:t xml:space="preserve"> </w:t>
      </w:r>
      <w:r>
        <w:t xml:space="preserve">this Constitution.md §11.4.256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r>
        <w:pict>
          <v:rect style="width:0;height:1.5pt" o:hralign="center" o:hrstd="t" o:hr="t"/>
        </w:pic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Constitution.md" TargetMode="External" /><Relationship Type="http://schemas.openxmlformats.org/officeDocument/2006/relationships/hyperlink" Id="rId11" Target="mailto:git@github.com" TargetMode="External" /></Relationships>
</file>

<file path=word/_rels/footnotes.xml.rels><?xml version="1.0" encoding="UTF-8"?><Relationships xmlns="http://schemas.openxmlformats.org/package/2006/relationships"><Relationship Type="http://schemas.openxmlformats.org/officeDocument/2006/relationships/hyperlink" Id="rId9" Target="Constitution.md" TargetMode="External" /><Relationship Type="http://schemas.openxmlformats.org/officeDocument/2006/relationships/hyperlink" Id="rId11" Target="mailto:git@github.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2026-09-26T11:41:28Z</dcterms:created>
  <dcterms:modified xsi:type="dcterms:W3CDTF">2026-09-26T11:41:28Z</dcterms:modified>
</cp:coreProperties>
</file>

<file path=docProps/custom.xml><?xml version="1.0" encoding="utf-8"?>
<Properties xmlns="http://schemas.openxmlformats.org/officeDocument/2006/custom-properties" xmlns:vt="http://schemas.openxmlformats.org/officeDocument/2006/docPropsVTypes"/>
</file>