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multitrack"/>
    <w:p>
      <w:pPr>
        <w:pStyle w:val="Heading1"/>
      </w:pPr>
      <w:r>
        <w:t xml:space="preserve">Multitrack</w:t>
      </w:r>
    </w:p>
    <w:p>
      <w:pPr>
        <w:pStyle w:val="FirstParagraph"/>
      </w:pPr>
      <w:r>
        <w:t xml:space="preserve">Automatic multi-track ruler orchestration (§11.4.187): a universal, automatic,</w:t>
      </w:r>
      <w:r>
        <w:t xml:space="preserve"> </w:t>
      </w:r>
      <w:r>
        <w:t xml:space="preserve">out-of-the-box, inherited-by-reference engine. One conductor session spawns,</w:t>
      </w:r>
      <w:r>
        <w:t xml:space="preserve"> </w:t>
      </w:r>
      <w:r>
        <w:t xml:space="preserve">drives, resumes, monitors and controls per-track headless workers</w:t>
      </w:r>
      <w:r>
        <w:t xml:space="preserve"> </w:t>
      </w:r>
      <w:r>
        <w:t xml:space="preserve">(</w:t>
      </w:r>
      <w:r>
        <w:rPr>
          <w:rStyle w:val="VerbatimChar"/>
        </w:rPr>
        <w:t xml:space="preserve">claude -p --output-format stream-json</w:t>
      </w:r>
      <w:r>
        <w:t xml:space="preserve">, session id taken from the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event, success read from</w:t>
      </w:r>
      <w:r>
        <w:t xml:space="preserve"> </w:t>
      </w:r>
      <w:r>
        <w:rPr>
          <w:rStyle w:val="VerbatimChar"/>
        </w:rPr>
        <w:t xml:space="preserve">result.is_error</w:t>
      </w:r>
      <w:r>
        <w:t xml:space="preserve"> </w:t>
      </w:r>
      <w:r>
        <w:t xml:space="preserve">— never the exit code), with</w:t>
      </w:r>
      <w:r>
        <w:t xml:space="preserve"> </w:t>
      </w:r>
      <w:r>
        <w:t xml:space="preserve">per-subscription authentication, rate-limit (429) rebind and fallback, and a</w:t>
      </w:r>
      <w:r>
        <w:t xml:space="preserve"> </w:t>
      </w:r>
      <w:r>
        <w:t xml:space="preserve">crash-resilient self-supervisor over durable state. Bootstrap is idempotent</w:t>
      </w:r>
      <w:r>
        <w:t xml:space="preserve"> </w:t>
      </w:r>
      <w:r>
        <w:t xml:space="preserve">and auto-invoked on every constitution pull through the §11.4.164 seam.</w:t>
      </w:r>
    </w:p>
    <w:p>
      <w:pPr>
        <w:pStyle w:val="BodyText"/>
      </w:pPr>
      <w:r>
        <w:t xml:space="preserve">The consuming project supplies only per-host data:</w:t>
      </w:r>
      <w:r>
        <w:t xml:space="preserve"> </w:t>
      </w:r>
      <w:r>
        <w:rPr>
          <w:rStyle w:val="VerbatimChar"/>
        </w:rPr>
        <w:t xml:space="preserve">config/multitrack/&lt;hostname&gt;.yaml</w:t>
      </w:r>
      <w:r>
        <w:t xml:space="preserve">. The conductor stays home; tracks execute</w:t>
      </w:r>
      <w:r>
        <w:t xml:space="preserve"> </w:t>
      </w:r>
      <w:r>
        <w:t xml:space="preserve">in their own checkouts.</w:t>
      </w:r>
    </w:p>
    <w:bookmarkStart w:id="9" w:name="registration"/>
    <w:p>
      <w:pPr>
        <w:pStyle w:val="Heading2"/>
      </w:pPr>
      <w:r>
        <w:t xml:space="preserve">Registration</w:t>
      </w:r>
    </w:p>
    <w:p>
      <w:pPr>
        <w:pStyle w:val="FirstParagraph"/>
      </w:pPr>
      <w:r>
        <w:rPr>
          <w:rStyle w:val="VerbatimChar"/>
        </w:rPr>
        <w:t xml:space="preserve">register.sh &lt;project-root&gt;</w:t>
      </w:r>
      <w:r>
        <w:t xml:space="preserve"> </w:t>
      </w:r>
      <w:r>
        <w:t xml:space="preserve">(defaults to</w:t>
      </w:r>
      <w:r>
        <w:t xml:space="preserve"> </w:t>
      </w:r>
      <w:r>
        <w:rPr>
          <w:rStyle w:val="VerbatimChar"/>
        </w:rPr>
        <w:t xml:space="preserve">$PWD</w:t>
      </w:r>
      <w:r>
        <w:t xml:space="preserve">) is the §11.4.164</w:t>
      </w:r>
      <w:r>
        <w:t xml:space="preserve"> </w:t>
      </w:r>
      <w:r>
        <w:t xml:space="preserve">auto-install trigger — it carries no wiring logic of its own and delegates</w:t>
      </w:r>
      <w:r>
        <w:t xml:space="preserve"> </w:t>
      </w:r>
      <w:r>
        <w:t xml:space="preserve">entirely to</w:t>
      </w:r>
      <w:r>
        <w:t xml:space="preserve"> </w:t>
      </w:r>
      <w:r>
        <w:rPr>
          <w:rStyle w:val="VerbatimChar"/>
        </w:rPr>
        <w:t xml:space="preserve">scripts/multitrack/multitrack_bootstrap.sh</w:t>
      </w:r>
      <w:r>
        <w:t xml:space="preserve">, whose six</w:t>
      </w:r>
      <w:r>
        <w:t xml:space="preserve"> </w:t>
      </w:r>
      <w:r>
        <w:t xml:space="preserve">idempotent steps are: install the cwd-hook symlink, check the CLI alias</w:t>
      </w:r>
      <w:r>
        <w:t xml:space="preserve"> </w:t>
      </w:r>
      <w:r>
        <w:t xml:space="preserve">availability, validate the per-host config (fatal only here — host data is</w:t>
      </w:r>
      <w:r>
        <w:t xml:space="preserve"> </w:t>
      </w:r>
      <w:r>
        <w:t xml:space="preserve">never invented), seed the orchestrator (</w:t>
      </w:r>
      <w:r>
        <w:rPr>
          <w:rStyle w:val="VerbatimChar"/>
        </w:rPr>
        <w:t xml:space="preserve">reconcile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), run the</w:t>
      </w:r>
      <w:r>
        <w:t xml:space="preserve"> </w:t>
      </w:r>
      <w:r>
        <w:t xml:space="preserve">read-only drive-preparation probe, and leave the opt-in supervisor watchdog</w:t>
      </w:r>
      <w:r>
        <w:t xml:space="preserve"> </w:t>
      </w:r>
      <w:r>
        <w:t xml:space="preserve">off by default.</w:t>
      </w:r>
    </w:p>
    <w:bookmarkEnd w:id="9"/>
    <w:bookmarkStart w:id="10" w:name="activation-ceiling-and-similarity"/>
    <w:p>
      <w:pPr>
        <w:pStyle w:val="Heading2"/>
      </w:pPr>
      <w:r>
        <w:t xml:space="preserve">Activation ceiling and similarity</w:t>
      </w:r>
    </w:p>
    <w:p>
      <w:pPr>
        <w:pStyle w:val="FirstParagraph"/>
      </w:pPr>
      <w:r>
        <w:t xml:space="preserve">Active-track count and worker fan-out are bounded by the host’s measured</w:t>
      </w:r>
      <w:r>
        <w:t xml:space="preserve"> </w:t>
      </w:r>
      <w:r>
        <w:t xml:space="preserve">budgets (§12.6 / §12.12); a second concurrent heavy build on one host is</w:t>
      </w:r>
      <w:r>
        <w:t xml:space="preserve"> </w:t>
      </w:r>
      <w:r>
        <w:t xml:space="preserve">never scheduled (§11.4.96 UNSAFE catalogue).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Automatic multi-track ruler orchestration per §11.4.187 — one conductor session spawning, driving, resuming, monitoring and controlling per-track headless workers with per-subscription auth, rate-limit rebind and crash-resilient supervision. Use when working with parallel development tracks, per-track headless workers, or the multitrack orchestrator, supervisor and bootstrap.</dc:description>
  <cp:keywords/>
  <dcterms:created xsi:type="dcterms:W3CDTF">2026-09-13T20:14:53Z</dcterms:created>
  <dcterms:modified xsi:type="dcterms:W3CDTF">2026-09-13T20:14:53Z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ame">
    <vt:lpwstr>Multitrack</vt:lpwstr>
  </property>
  <property fmtid="{D5CDD505-2E9C-101B-9397-08002B2CF9AE}" pid="3" name="version">
    <vt:lpwstr>1.0.0</vt:lpwstr>
  </property>
</Properties>
</file>