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fe21998befb22b2e3fb76c2e3114951a50d87a4"/>
    <w:p>
      <w:pPr>
        <w:pStyle w:val="Heading1"/>
      </w:pPr>
      <w:r>
        <w:t xml:space="preserve">Action-Prefix Recognition Instruction (§11.4.140) — LAYER-1 carrier block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2026-06-09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2026-07-16T11:00:00Z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the reusable verbatim instruction block embedded into every agent context carrier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Authority</w:t>
            </w:r>
          </w:p>
        </w:tc>
        <w:tc>
          <w:tcPr/>
          <w:p>
            <w:pPr>
              <w:pStyle w:val="Compact"/>
            </w:pPr>
            <w:r>
              <w:t xml:space="preserve">DESIGN.md §5 + RULE_DRAFT.md Part B (this directory)</w:t>
            </w:r>
          </w:p>
        </w:tc>
      </w:tr>
    </w:tbl>
    <w:p>
      <w:pPr>
        <w:pStyle w:val="BlockText"/>
      </w:pPr>
      <w:r>
        <w:rPr>
          <w:b/>
          <w:bCs/>
        </w:rPr>
        <w:t xml:space="preserve">Revision 6 (2026-07-16):</w:t>
      </w:r>
      <w:r>
        <w:t xml:space="preserve"> </w:t>
      </w:r>
      <w:r>
        <w:t xml:space="preserve">added the fourth</w:t>
      </w:r>
      <w:r>
        <w:t xml:space="preserve"> </w:t>
      </w:r>
      <w:r>
        <w:rPr>
          <w:b/>
          <w:bCs/>
        </w:rPr>
        <w:t xml:space="preserve">§11.4.213 reporting-family</w:t>
      </w:r>
      <w:r>
        <w:rPr>
          <w:b/>
          <w:bCs/>
        </w:rPr>
        <w:t xml:space="preserve"> </w:t>
      </w:r>
      <w:r>
        <w:rPr>
          <w:b/>
          <w:bCs/>
        </w:rPr>
        <w:t xml:space="preserve">directive</w:t>
      </w:r>
      <w:r>
        <w:t xml:space="preserve"> </w:t>
      </w:r>
      <w:r>
        <w:rPr>
          <w:rStyle w:val="VerbatimChar"/>
        </w:rPr>
        <w:t xml:space="preserve">FEATURE</w:t>
      </w:r>
      <w:r>
        <w:t xml:space="preserve"> </w:t>
      </w:r>
      <w:r>
        <w:t xml:space="preserve">— a RESEARCH-SCHEDULING directive (all six §11.4.140</w:t>
      </w:r>
      <w:r>
        <w:t xml:space="preserve"> </w:t>
      </w:r>
      <w:r>
        <w:t xml:space="preserve">forms incl. the single-colon</w:t>
      </w:r>
      <w:r>
        <w:t xml:space="preserve"> </w:t>
      </w:r>
      <w:r>
        <w:rPr>
          <w:rStyle w:val="VerbatimChar"/>
        </w:rPr>
        <w:t xml:space="preserve">FEATURE:</w:t>
      </w:r>
      <w:r>
        <w:t xml:space="preserve">) that SCHEDULES rather than</w:t>
      </w:r>
      <w:r>
        <w:t xml:space="preserve"> </w:t>
      </w:r>
      <w:r>
        <w:t xml:space="preserve">synchronously executes a deep, enterprise-grade research + implementation-</w:t>
      </w:r>
      <w:r>
        <w:t xml:space="preserve"> </w:t>
      </w:r>
      <w:r>
        <w:t xml:space="preserve">planning effort, by invoking the SAME §11.4.202</w:t>
      </w:r>
      <w:r>
        <w:t xml:space="preserve"> </w:t>
      </w:r>
      <w:r>
        <w:rPr>
          <w:rStyle w:val="VerbatimChar"/>
        </w:rPr>
        <w:t xml:space="preserve">report_item.sh</w:t>
      </w:r>
      <w:r>
        <w:t xml:space="preserve"> </w:t>
      </w:r>
      <w:r>
        <w:t xml:space="preserve">engine</w:t>
      </w:r>
      <w:r>
        <w:t xml:space="preserve"> </w:t>
      </w:r>
      <w:r>
        <w:t xml:space="preserve">(never a duplicate implementation) plus a new durable</w:t>
      </w:r>
      <w:r>
        <w:t xml:space="preserve"> </w:t>
      </w:r>
      <w:r>
        <w:rPr>
          <w:rStyle w:val="VerbatimChar"/>
        </w:rPr>
        <w:t xml:space="preserve">docs/requests/feature_queue.md</w:t>
      </w:r>
      <w:r>
        <w:t xml:space="preserve"> </w:t>
      </w:r>
      <w:r>
        <w:t xml:space="preserve">queue.</w:t>
      </w:r>
    </w:p>
    <w:p>
      <w:pPr>
        <w:pStyle w:val="BlockText"/>
      </w:pPr>
      <w:r>
        <w:rPr>
          <w:b/>
          <w:bCs/>
        </w:rPr>
        <w:t xml:space="preserve">Revision 5 (2026-07-16):</w:t>
      </w:r>
      <w:r>
        <w:t xml:space="preserve"> </w:t>
      </w:r>
      <w:r>
        <w:t xml:space="preserve">added the three</w:t>
      </w:r>
      <w:r>
        <w:t xml:space="preserve"> </w:t>
      </w:r>
      <w:r>
        <w:rPr>
          <w:b/>
          <w:bCs/>
        </w:rPr>
        <w:t xml:space="preserve">severity / handling-priority</w:t>
      </w:r>
      <w:r>
        <w:rPr>
          <w:b/>
          <w:bCs/>
        </w:rPr>
        <w:t xml:space="preserve"> </w:t>
      </w:r>
      <w:r>
        <w:rPr>
          <w:b/>
          <w:bCs/>
        </w:rPr>
        <w:t xml:space="preserve">markers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IMPORTANT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NOTE</w:t>
      </w:r>
      <w:r>
        <w:t xml:space="preserve"> </w:t>
      </w:r>
      <w:r>
        <w:t xml:space="preserve">(registry rows, all six §11.4.140</w:t>
      </w:r>
      <w:r>
        <w:t xml:space="preserve"> </w:t>
      </w:r>
      <w:r>
        <w:t xml:space="preserve">forms incl. the single-colon</w:t>
      </w:r>
      <w:r>
        <w:t xml:space="preserve"> </w:t>
      </w:r>
      <w:r>
        <w:rPr>
          <w:rStyle w:val="VerbatimChar"/>
        </w:rPr>
        <w:t xml:space="preserve">CRITICAL: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IMPORTANT: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NOTE:</w:t>
      </w:r>
      <w:r>
        <w:t xml:space="preserve">). Registering</w:t>
      </w:r>
      <w:r>
        <w:t xml:space="preserve"> </w:t>
      </w:r>
      <w:r>
        <w:rPr>
          <w:rStyle w:val="VerbatimChar"/>
        </w:rPr>
        <w:t xml:space="preserve">NOTE</w:t>
      </w:r>
      <w:r>
        <w:t xml:space="preserve"> </w:t>
      </w:r>
      <w:r>
        <w:t xml:space="preserve">PROMOTES</w:t>
      </w:r>
      <w:r>
        <w:t xml:space="preserve"> </w:t>
      </w:r>
      <w:r>
        <w:rPr>
          <w:rStyle w:val="VerbatimChar"/>
        </w:rPr>
        <w:t xml:space="preserve">NOTE:</w:t>
      </w:r>
      <w:r>
        <w:t xml:space="preserve"> </w:t>
      </w:r>
      <w:r>
        <w:t xml:space="preserve">from an ordinary-prose NO-OP to a registered action —</w:t>
      </w:r>
      <w:r>
        <w:t xml:space="preserve"> </w:t>
      </w:r>
      <w:r>
        <w:t xml:space="preserve">the ordinary-prose single-colon examples are now</w:t>
      </w:r>
      <w:r>
        <w:t xml:space="preserve"> </w:t>
      </w:r>
      <w:r>
        <w:rPr>
          <w:rStyle w:val="VerbatimChar"/>
        </w:rPr>
        <w:t xml:space="preserve">TODO: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WARNING: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FIXME: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Revision 4 (2026-07-15):</w:t>
      </w:r>
      <w:r>
        <w:t xml:space="preserve"> </w:t>
      </w:r>
      <w:r>
        <w:t xml:space="preserve">added the</w:t>
      </w:r>
      <w:r>
        <w:t xml:space="preserve"> </w:t>
      </w:r>
      <w:r>
        <w:rPr>
          <w:b/>
          <w:bCs/>
        </w:rPr>
        <w:t xml:space="preserve">§11.4.202 reporting directives</w:t>
      </w:r>
      <w:r>
        <w:t xml:space="preserve"> </w:t>
      </w:r>
      <w:r>
        <w:t xml:space="preserve">(</w:t>
      </w:r>
      <w:r>
        <w:rPr>
          <w:rStyle w:val="VerbatimChar"/>
        </w:rPr>
        <w:t xml:space="preserve">ISSUE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TASK</w:t>
      </w:r>
      <w:r>
        <w:t xml:space="preserve">) + the</w:t>
      </w:r>
      <w:r>
        <w:t xml:space="preserve"> </w:t>
      </w:r>
      <w:r>
        <w:rPr>
          <w:b/>
          <w:bCs/>
        </w:rPr>
        <w:t xml:space="preserve">single-colon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NAME:</w:t>
      </w:r>
      <w:r>
        <w:rPr>
          <w:b/>
          <w:bCs/>
        </w:rPr>
        <w:t xml:space="preserve"> </w:t>
      </w:r>
      <w:r>
        <w:rPr>
          <w:b/>
          <w:bCs/>
        </w:rPr>
        <w:t xml:space="preserve">form</w:t>
      </w:r>
      <w:r>
        <w:t xml:space="preserve"> </w:t>
      </w:r>
      <w:r>
        <w:t xml:space="preserve">(form 6),</w:t>
      </w:r>
      <w:r>
        <w:t xml:space="preserve"> </w:t>
      </w:r>
      <w:r>
        <w:t xml:space="preserve">registered-action-only so ordinary prose (</w:t>
      </w:r>
      <w:r>
        <w:rPr>
          <w:rStyle w:val="VerbatimChar"/>
        </w:rPr>
        <w:t xml:space="preserve">TODO: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FIXME:</w:t>
      </w:r>
      <w:r>
        <w:t xml:space="preserve">) never expands and</w:t>
      </w:r>
      <w:r>
        <w:t xml:space="preserve"> </w:t>
      </w:r>
      <w:r>
        <w:t xml:space="preserve">never asks. A report now auto-creates a fully-populated, fully-synced workable</w:t>
      </w:r>
      <w:r>
        <w:t xml:space="preserve"> </w:t>
      </w:r>
      <w:r>
        <w:t xml:space="preserve">item; a prose-only acknowledgement is a §11.4 bluff (§11.4.197).</w:t>
      </w:r>
    </w:p>
    <w:p>
      <w:pPr>
        <w:pStyle w:val="BlockText"/>
      </w:pPr>
      <w:r>
        <w:rPr>
          <w:b/>
          <w:bCs/>
        </w:rPr>
        <w:t xml:space="preserve">Revision 3 (2026-07-14):</w:t>
      </w:r>
      <w:r>
        <w:t xml:space="preserve"> </w:t>
      </w:r>
      <w:r>
        <w:t xml:space="preserve">added the</w:t>
      </w:r>
      <w:r>
        <w:t xml:space="preserve"> </w:t>
      </w:r>
      <w:r>
        <w:rPr>
          <w:b/>
          <w:bCs/>
        </w:rPr>
        <w:t xml:space="preserve">sub-system shortcut</w:t>
      </w:r>
      <w:r>
        <w:t xml:space="preserve"> </w:t>
      </w:r>
      <w:r>
        <w:t xml:space="preserve">extension — a</w:t>
      </w:r>
      <w:r>
        <w:t xml:space="preserve"> </w:t>
      </w:r>
      <w:r>
        <w:t xml:space="preserve">grammar-shaped token that names an incorporated sub-system / submodule (from</w:t>
      </w:r>
      <w:r>
        <w:t xml:space="preserve"> </w:t>
      </w:r>
      <w:r>
        <w:t xml:space="preserve">the registry</w:t>
      </w:r>
      <w:r>
        <w:t xml:space="preserve"> </w:t>
      </w:r>
      <w:r>
        <w:rPr>
          <w:rStyle w:val="VerbatimChar"/>
        </w:rPr>
        <w:t xml:space="preserve">subsystems:</w:t>
      </w:r>
      <w:r>
        <w:t xml:space="preserve"> </w:t>
      </w:r>
      <w:r>
        <w:t xml:space="preserve">catalogue OR recursive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discovery)</w:t>
      </w:r>
      <w:r>
        <w:t xml:space="preserve"> </w:t>
      </w:r>
      <w:r>
        <w:t xml:space="preserve">expands to a sub-system context injection. No new grammar; the same five forms.</w:t>
      </w:r>
    </w:p>
    <w:p>
      <w:pPr>
        <w:pStyle w:val="BlockText"/>
      </w:pPr>
      <w:r>
        <w:rPr>
          <w:b/>
          <w:bCs/>
        </w:rPr>
        <w:t xml:space="preserve">Revision 2 (2026-07-02):</w:t>
      </w:r>
      <w:r>
        <w:t xml:space="preserve"> </w:t>
      </w:r>
      <w:r>
        <w:t xml:space="preserve">added the fifth grammar form — the arrow form</w:t>
      </w:r>
      <w:r>
        <w:t xml:space="preserve"> </w:t>
      </w:r>
      <w:r>
        <w:rPr>
          <w:rStyle w:val="VerbatimChar"/>
        </w:rPr>
        <w:t xml:space="preserve">ACTION_NAME ---&gt; &lt;rest&gt;</w:t>
      </w:r>
      <w:r>
        <w:t xml:space="preserve"> </w:t>
      </w:r>
      <w:r>
        <w:t xml:space="preserve">(and namespaced</w:t>
      </w:r>
      <w:r>
        <w:t xml:space="preserve"> </w:t>
      </w:r>
      <w:r>
        <w:rPr>
          <w:rStyle w:val="VerbatimChar"/>
        </w:rPr>
        <w:t xml:space="preserve">PREFIX::ACTION_NAME ---&gt; &lt;rest&gt;</w:t>
      </w:r>
      <w:r>
        <w:t xml:space="preserve">) —</w:t>
      </w:r>
      <w:r>
        <w:t xml:space="preserve"> </w:t>
      </w:r>
      <w:r>
        <w:t xml:space="preserve">as a first-class equivalent delimiter alongside</w:t>
      </w:r>
      <w:r>
        <w:t xml:space="preserve"> </w:t>
      </w:r>
      <w:r>
        <w:rPr>
          <w:rStyle w:val="VerbatimChar"/>
        </w:rPr>
        <w:t xml:space="preserve">::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</w:t>
      </w:r>
      <w:r>
        <w:t xml:space="preserve">, plus the second</w:t>
      </w:r>
      <w:r>
        <w:t xml:space="preserve"> </w:t>
      </w:r>
      <w:r>
        <w:t xml:space="preserve">registered action</w:t>
      </w:r>
      <w:r>
        <w:t xml:space="preserve"> </w:t>
      </w:r>
      <w:r>
        <w:rPr>
          <w:rStyle w:val="VerbatimChar"/>
        </w:rPr>
        <w:t xml:space="preserve">REMINDER</w:t>
      </w:r>
      <w:r>
        <w:t xml:space="preserve"> </w:t>
      </w:r>
      <w:r>
        <w:t xml:space="preserve">(verify-don't-assume status re-surfacing).</w:t>
      </w:r>
    </w:p>
    <w:p>
      <w:pPr>
        <w:pStyle w:val="FirstParagraph"/>
      </w:pPr>
      <w:r>
        <w:t xml:space="preserve">This file holds the</w:t>
      </w:r>
      <w:r>
        <w:t xml:space="preserve"> </w:t>
      </w:r>
      <w:r>
        <w:rPr>
          <w:b/>
          <w:bCs/>
        </w:rPr>
        <w:t xml:space="preserve">single canonical LAYER-1 recognition-instruction block</w:t>
      </w:r>
      <w:r>
        <w:t xml:space="preserve">.</w:t>
      </w:r>
      <w:r>
        <w:t xml:space="preserve"> </w:t>
      </w:r>
      <w:r>
        <w:t xml:space="preserve">The conductor (or the §11.4.35 propagation machinery) embeds the block between</w:t>
      </w:r>
      <w:r>
        <w:t xml:space="preserve"> </w:t>
      </w:r>
      <w:r>
        <w:t xml:space="preserve">the two markers below — VERBATIM, identical text — into every agent context</w:t>
      </w:r>
      <w:r>
        <w:t xml:space="preserve"> </w:t>
      </w:r>
      <w:r>
        <w:t xml:space="preserve">carrier the constitution maintains (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). That textual identity across all four carriers IS the LAYER-1</w:t>
      </w:r>
      <w:r>
        <w:t xml:space="preserve"> </w:t>
      </w:r>
      <w:r>
        <w:t xml:space="preserve">universality: every CLI agent reads the same instruction via its own carrier and</w:t>
      </w:r>
      <w:r>
        <w:t xml:space="preserve"> </w:t>
      </w:r>
      <w:r>
        <w:t xml:space="preserve">applies the prefix expansion itself (per §11.4.35), so the system works on every</w:t>
      </w:r>
      <w:r>
        <w:t xml:space="preserve"> </w:t>
      </w:r>
      <w:r>
        <w:t xml:space="preserve">agent with zero extra setup.</w:t>
      </w:r>
    </w:p>
    <w:p>
      <w:pPr>
        <w:pStyle w:val="BodyText"/>
      </w:pPr>
      <w:r>
        <w:t xml:space="preserve">The block is self-contained: even an agent with NO registry-file access still</w:t>
      </w:r>
      <w:r>
        <w:t xml:space="preserve"> </w:t>
      </w:r>
      <w:r>
        <w:t xml:space="preserve">has the most-used</w:t>
      </w:r>
      <w:r>
        <w:t xml:space="preserve"> </w:t>
      </w:r>
      <w:r>
        <w:rPr>
          <w:rStyle w:val="VerbatimChar"/>
        </w:rPr>
        <w:t xml:space="preserve">BACKGROUND</w:t>
      </w:r>
      <w:r>
        <w:t xml:space="preserve"> </w:t>
      </w:r>
      <w:r>
        <w:t xml:space="preserve">expansion inline, while the registry</w:t>
      </w:r>
      <w:r>
        <w:t xml:space="preserve"> </w:t>
      </w:r>
      <w:r>
        <w:t xml:space="preserve">(</w:t>
      </w:r>
      <w:r>
        <w:rPr>
          <w:rStyle w:val="VerbatimChar"/>
        </w:rPr>
        <w:t xml:space="preserve">actions/registry.yaml</w:t>
      </w:r>
      <w:r>
        <w:t xml:space="preserve">) remains the extensible source of truth for every other</w:t>
      </w:r>
      <w:r>
        <w:t xml:space="preserve"> </w:t>
      </w:r>
      <w:r>
        <w:t xml:space="preserve">action.</w:t>
      </w:r>
    </w:p>
    <w:p>
      <w:pPr>
        <w:pStyle w:val="BlockText"/>
      </w:pPr>
      <w:r>
        <w:t xml:space="preserve">NOTE: this is the canonical block text. It is NOT applied to the live</w:t>
      </w:r>
      <w:r>
        <w:t xml:space="preserve"> </w:t>
      </w:r>
      <w:r>
        <w:t xml:space="preserve">governance files (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) by this</w:t>
      </w:r>
      <w:r>
        <w:t xml:space="preserve"> </w:t>
      </w:r>
      <w:r>
        <w:t xml:space="preserve">machinery — those are conductor-owned (§11.4.58 contention paths). The operator</w:t>
      </w:r>
      <w:r>
        <w:t xml:space="preserve"> </w:t>
      </w:r>
      <w:r>
        <w:t xml:space="preserve">lands it via the §11.4.26 constitution-update pipeline.</w:t>
      </w:r>
    </w:p>
    <w:p>
      <w:pPr>
        <w:pStyle w:val="BlockText"/>
      </w:pPr>
      <w:r>
        <w:rPr>
          <w:b/>
          <w:bCs/>
        </w:rPr>
        <w:t xml:space="preserve">§11.4.140 — Universal action-prefix system (</w:t>
      </w:r>
      <w:r>
        <w:rPr>
          <w:rStyle w:val="VerbatimChar"/>
          <w:b/>
          <w:bCs/>
        </w:rPr>
        <w:t xml:space="preserve">ACTION_NAME ::</w:t>
      </w:r>
      <w:r>
        <w:rPr>
          <w:b/>
          <w:bCs/>
        </w:rPr>
        <w:t xml:space="preserve">) (User mandate,</w:t>
      </w:r>
      <w:r>
        <w:rPr>
          <w:b/>
          <w:bCs/>
        </w:rPr>
        <w:t xml:space="preserve"> </w:t>
      </w:r>
      <w:r>
        <w:rPr>
          <w:b/>
          <w:bCs/>
        </w:rPr>
        <w:t xml:space="preserve">2026-06-09; GRAMMAR_ADDENDUM 2026-06-09; arrow form 2026-07-02).</w:t>
      </w:r>
      <w:r>
        <w:t xml:space="preserve"> </w:t>
      </w:r>
      <w:r>
        <w:t xml:space="preserve">When a</w:t>
      </w:r>
      <w:r>
        <w:t xml:space="preserve"> </w:t>
      </w:r>
      <w:r>
        <w:t xml:space="preserve">user prompt's FIRST</w:t>
      </w:r>
      <w:r>
        <w:t xml:space="preserve"> </w:t>
      </w:r>
      <w:r>
        <w:t xml:space="preserve">non-blank line starts with a recognised action prefix, you MUST: (1) look the</w:t>
      </w:r>
      <w:r>
        <w:t xml:space="preserve"> </w:t>
      </w:r>
      <w:r>
        <w:t xml:space="preserve">action token up in the action registry</w:t>
      </w:r>
      <w:r>
        <w:t xml:space="preserve"> </w:t>
      </w:r>
      <w:r>
        <w:rPr>
          <w:rStyle w:val="VerbatimChar"/>
        </w:rPr>
        <w:t xml:space="preserve">constitution/actions/registry.yaml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$HELIX_ACTION_REGISTRY</w:t>
      </w:r>
      <w:r>
        <w:t xml:space="preserve">);</w:t>
      </w:r>
      <w:r>
        <w:t xml:space="preserve"> </w:t>
      </w:r>
      <w:r>
        <w:t xml:space="preserve">(2) if it is a registered action, REPLACE the prefix with that action's</w:t>
      </w:r>
      <w:r>
        <w:t xml:space="preserve"> </w:t>
      </w:r>
      <w:r>
        <w:rPr>
          <w:rStyle w:val="VerbatimChar"/>
        </w:rPr>
        <w:t xml:space="preserve">expansion</w:t>
      </w:r>
      <w:r>
        <w:t xml:space="preserve"> </w:t>
      </w:r>
      <w:r>
        <w:t xml:space="preserve">text and apply its</w:t>
      </w:r>
      <w:r>
        <w:t xml:space="preserve"> </w:t>
      </w:r>
      <w:r>
        <w:rPr>
          <w:rStyle w:val="VerbatimChar"/>
        </w:rPr>
        <w:t xml:space="preserve">rules</w:t>
      </w:r>
      <w:r>
        <w:t xml:space="preserve">; (3) execute the remainder of the prompt</w:t>
      </w:r>
      <w:r>
        <w:t xml:space="preserve"> </w:t>
      </w:r>
      <w:r>
        <w:t xml:space="preserve">under the expanded instruction.</w:t>
      </w:r>
      <w:r>
        <w:t xml:space="preserve"> </w:t>
      </w:r>
      <w:r>
        <w:rPr>
          <w:b/>
          <w:bCs/>
        </w:rPr>
        <w:t xml:space="preserve">Five EQUIVALENT forms</w:t>
      </w:r>
      <w:r>
        <w:t xml:space="preserve"> </w:t>
      </w:r>
      <w:r>
        <w:t xml:space="preserve">— same action, same</w:t>
      </w:r>
      <w:r>
        <w:t xml:space="preserve"> </w:t>
      </w:r>
      <w:r>
        <w:t xml:space="preserve">expansion, same execution: (1)</w:t>
      </w:r>
      <w:r>
        <w:t xml:space="preserve"> </w:t>
      </w:r>
      <w:r>
        <w:rPr>
          <w:rStyle w:val="VerbatimChar"/>
        </w:rPr>
        <w:t xml:space="preserve">ACTION_NAME :: &lt;rest&gt;</w:t>
      </w:r>
      <w:r>
        <w:t xml:space="preserve"> </w:t>
      </w:r>
      <w:r>
        <w:t xml:space="preserve">(bare</w:t>
      </w:r>
      <w:r>
        <w:t xml:space="preserve"> </w:t>
      </w:r>
      <w:r>
        <w:rPr>
          <w:rStyle w:val="VerbatimChar"/>
        </w:rPr>
        <w:t xml:space="preserve">::</w:t>
      </w:r>
      <w:r>
        <w:t xml:space="preserve">),</w:t>
      </w:r>
      <w:r>
        <w:t xml:space="preserve"> </w:t>
      </w:r>
      <w:r>
        <w:t xml:space="preserve">(2)</w:t>
      </w:r>
      <w:r>
        <w:t xml:space="preserve"> </w:t>
      </w:r>
      <w:r>
        <w:rPr>
          <w:rStyle w:val="VerbatimChar"/>
        </w:rPr>
        <w:t xml:space="preserve">PREFIX::ACTION_NAME :: &lt;rest&gt;</w:t>
      </w:r>
      <w:r>
        <w:t xml:space="preserve"> </w:t>
      </w:r>
      <w:r>
        <w:t xml:space="preserve">(namespaced</w:t>
      </w:r>
      <w:r>
        <w:t xml:space="preserve"> </w:t>
      </w:r>
      <w:r>
        <w:rPr>
          <w:rStyle w:val="VerbatimChar"/>
        </w:rPr>
        <w:t xml:space="preserve">::</w:t>
      </w:r>
      <w:r>
        <w:t xml:space="preserve">), (3)</w:t>
      </w:r>
      <w:r>
        <w:t xml:space="preserve"> </w:t>
      </w:r>
      <w:r>
        <w:rPr>
          <w:rStyle w:val="VerbatimChar"/>
        </w:rPr>
        <w:t xml:space="preserve">/ACTION_NAME &lt;rest&gt;</w:t>
      </w:r>
      <w:r>
        <w:t xml:space="preserve"> </w:t>
      </w:r>
      <w:r>
        <w:t xml:space="preserve">(bare slash), (4)</w:t>
      </w:r>
      <w:r>
        <w:t xml:space="preserve"> </w:t>
      </w:r>
      <w:r>
        <w:rPr>
          <w:rStyle w:val="VerbatimChar"/>
        </w:rPr>
        <w:t xml:space="preserve">/PREFIX::ACTION_NAME &lt;rest&gt;</w:t>
      </w:r>
      <w:r>
        <w:t xml:space="preserve"> </w:t>
      </w:r>
      <w:r>
        <w:t xml:space="preserve">(namespaced slash),</w:t>
      </w:r>
      <w:r>
        <w:t xml:space="preserve"> </w:t>
      </w:r>
      <w:r>
        <w:t xml:space="preserve">(5)</w:t>
      </w:r>
      <w:r>
        <w:t xml:space="preserve"> </w:t>
      </w:r>
      <w:r>
        <w:rPr>
          <w:rStyle w:val="VerbatimChar"/>
        </w:rPr>
        <w:t xml:space="preserve">ACTION_NAME ---&gt; &lt;rest&gt;</w:t>
      </w:r>
      <w:r>
        <w:t xml:space="preserve"> </w:t>
      </w:r>
      <w:r>
        <w:t xml:space="preserve">(bare arrow) ≡</w:t>
      </w:r>
      <w:r>
        <w:t xml:space="preserve"> </w:t>
      </w:r>
      <w:r>
        <w:rPr>
          <w:rStyle w:val="VerbatimChar"/>
        </w:rPr>
        <w:t xml:space="preserve">PREFIX::ACTION_NAME ---&gt; &lt;rest&gt;</w:t>
      </w:r>
      <w:r>
        <w:t xml:space="preserve"> </w:t>
      </w:r>
      <w:r>
        <w:t xml:space="preserve">(namespaced arrow). Thus</w:t>
      </w:r>
      <w:r>
        <w:t xml:space="preserve"> </w:t>
      </w:r>
      <w:r>
        <w:rPr>
          <w:rStyle w:val="VerbatimChar"/>
        </w:rPr>
        <w:t xml:space="preserve">BACKGROUND :: x</w:t>
      </w:r>
      <w:r>
        <w:t xml:space="preserve"> </w:t>
      </w:r>
      <w:r>
        <w:t xml:space="preserve">≡</w:t>
      </w:r>
      <w:r>
        <w:t xml:space="preserve"> </w:t>
      </w:r>
      <w:r>
        <w:rPr>
          <w:rStyle w:val="VerbatimChar"/>
        </w:rPr>
        <w:t xml:space="preserve">DEFAULT::BACKGROUND :: x</w:t>
      </w:r>
      <w:r>
        <w:t xml:space="preserve"> </w:t>
      </w:r>
      <w:r>
        <w:t xml:space="preserve">≡</w:t>
      </w:r>
      <w:r>
        <w:t xml:space="preserve"> </w:t>
      </w:r>
      <w:r>
        <w:rPr>
          <w:rStyle w:val="VerbatimChar"/>
        </w:rPr>
        <w:t xml:space="preserve">/BACKGROUND x</w:t>
      </w:r>
      <w:r>
        <w:t xml:space="preserve"> </w:t>
      </w:r>
      <w:r>
        <w:t xml:space="preserve">≡</w:t>
      </w:r>
      <w:r>
        <w:t xml:space="preserve"> </w:t>
      </w:r>
      <w:r>
        <w:rPr>
          <w:rStyle w:val="VerbatimChar"/>
        </w:rPr>
        <w:t xml:space="preserve">/DEFAULT::BACKGROUND x</w:t>
      </w:r>
      <w:r>
        <w:t xml:space="preserve"> </w:t>
      </w:r>
      <w:r>
        <w:t xml:space="preserve">≡</w:t>
      </w:r>
      <w:r>
        <w:t xml:space="preserve"> </w:t>
      </w:r>
      <w:r>
        <w:rPr>
          <w:rStyle w:val="VerbatimChar"/>
        </w:rPr>
        <w:t xml:space="preserve">BACKGROUND ---&gt; x</w:t>
      </w:r>
      <w:r>
        <w:t xml:space="preserve"> </w:t>
      </w:r>
      <w:r>
        <w:t xml:space="preserve">≡</w:t>
      </w:r>
      <w:r>
        <w:t xml:space="preserve"> </w:t>
      </w:r>
      <w:r>
        <w:rPr>
          <w:rStyle w:val="VerbatimChar"/>
        </w:rPr>
        <w:t xml:space="preserve">DEFAULT::BACKGROUND ---&gt; x</w:t>
      </w:r>
      <w:r>
        <w:t xml:space="preserve">.</w:t>
      </w:r>
      <w:r>
        <w:t xml:space="preserve"> </w:t>
      </w:r>
      <w:r>
        <w:rPr>
          <w:rStyle w:val="VerbatimChar"/>
        </w:rPr>
        <w:t xml:space="preserve">PREFIX</w:t>
      </w:r>
      <w:r>
        <w:t xml:space="preserve"> </w:t>
      </w:r>
      <w:r>
        <w:t xml:space="preserve">is an action NAMESPACE; the reserved default</w:t>
      </w:r>
      <w:r>
        <w:t xml:space="preserve"> </w:t>
      </w:r>
      <w:r>
        <w:t xml:space="preserve">namespace is</w:t>
      </w:r>
      <w:r>
        <w:t xml:space="preserve"> </w:t>
      </w:r>
      <w:r>
        <w:rPr>
          <w:rStyle w:val="VerbatimChar"/>
          <w:b/>
          <w:bCs/>
        </w:rPr>
        <w:t xml:space="preserve">DEFAULT</w:t>
      </w:r>
      <w:r>
        <w:t xml:space="preserve">, and an action runs WITH or WITHOUT the prefix.</w:t>
      </w:r>
      <w:r>
        <w:t xml:space="preserve"> </w:t>
      </w:r>
      <w:r>
        <w:t xml:space="preserve">Grammar (all hold): anchored at the FIRST non-blank line only (mid-prose tokens</w:t>
      </w:r>
      <w:r>
        <w:t xml:space="preserve"> </w:t>
      </w:r>
      <w:r>
        <w:t xml:space="preserve">never match); the action token AND the namespace are UPPERCASE-only</w:t>
      </w:r>
      <w:r>
        <w:t xml:space="preserve"> </w:t>
      </w:r>
      <w:r>
        <w:rPr>
          <w:rStyle w:val="VerbatimChar"/>
        </w:rPr>
        <w:t xml:space="preserve">[A-Z][A-Z0-9_]*</w:t>
      </w:r>
      <w:r>
        <w:t xml:space="preserve"> </w:t>
      </w:r>
      <w:r>
        <w:t xml:space="preserve">(lowercase never matches); the namespace separator</w:t>
      </w:r>
      <w:r>
        <w:t xml:space="preserve"> </w:t>
      </w:r>
      <w:r>
        <w:rPr>
          <w:rStyle w:val="VerbatimChar"/>
        </w:rPr>
        <w:t xml:space="preserve">::</w:t>
      </w:r>
      <w:r>
        <w:t xml:space="preserve"> </w:t>
      </w:r>
      <w:r>
        <w:t xml:space="preserve">inside the token carries NO surrounding spaces (</w:t>
      </w:r>
      <w:r>
        <w:rPr>
          <w:rStyle w:val="VerbatimChar"/>
        </w:rPr>
        <w:t xml:space="preserve">PREFIX::ACTION_NAME</w:t>
      </w:r>
      <w:r>
        <w:t xml:space="preserve">), DISTINCT</w:t>
      </w:r>
      <w:r>
        <w:t xml:space="preserve"> </w:t>
      </w:r>
      <w:r>
        <w:t xml:space="preserve">from the action-body separator</w:t>
      </w:r>
      <w:r>
        <w:t xml:space="preserve"> </w:t>
      </w:r>
      <w:r>
        <w:rPr>
          <w:rStyle w:val="VerbatimChar"/>
        </w:rPr>
        <w:t xml:space="preserve">" :: "</w:t>
      </w:r>
      <w:r>
        <w:t xml:space="preserve"> </w:t>
      </w:r>
      <w:r>
        <w:t xml:space="preserve">(one ASCII space on each side of</w:t>
      </w:r>
      <w:r>
        <w:t xml:space="preserve"> </w:t>
      </w:r>
      <w:r>
        <w:rPr>
          <w:rStyle w:val="VerbatimChar"/>
        </w:rPr>
        <w:t xml:space="preserve">::</w:t>
      </w:r>
      <w:r>
        <w:t xml:space="preserve"> </w:t>
      </w:r>
      <w:r>
        <w:t xml:space="preserve">—</w:t>
      </w:r>
      <w:r>
        <w:t xml:space="preserve"> </w:t>
      </w:r>
      <w:r>
        <w:t xml:space="preserve">avoids C++</w:t>
      </w:r>
      <w:r>
        <w:t xml:space="preserve"> </w:t>
      </w:r>
      <w:r>
        <w:rPr>
          <w:rStyle w:val="VerbatimChar"/>
        </w:rPr>
        <w:t xml:space="preserve">Foo::Bar</w:t>
      </w:r>
      <w:r>
        <w:t xml:space="preserve">, YAML</w:t>
      </w:r>
      <w:r>
        <w:t xml:space="preserve"> </w:t>
      </w:r>
      <w:r>
        <w:rPr>
          <w:rStyle w:val="VerbatimChar"/>
        </w:rPr>
        <w:t xml:space="preserve">key: value</w:t>
      </w:r>
      <w:r>
        <w:t xml:space="preserve">, URLs) in forms 1/2, the arrow-body</w:t>
      </w:r>
      <w:r>
        <w:t xml:space="preserve"> </w:t>
      </w:r>
      <w:r>
        <w:t xml:space="preserve">separator</w:t>
      </w:r>
      <w:r>
        <w:t xml:space="preserve"> </w:t>
      </w:r>
      <w:r>
        <w:rPr>
          <w:rStyle w:val="VerbatimChar"/>
        </w:rPr>
        <w:t xml:space="preserve">" ---&gt; "</w:t>
      </w:r>
      <w:r>
        <w:t xml:space="preserve"> </w:t>
      </w:r>
      <w:r>
        <w:t xml:space="preserve">(one ASCII space on each side) in form 5, and the</w:t>
      </w:r>
      <w:r>
        <w:t xml:space="preserve"> </w:t>
      </w:r>
      <w:r>
        <w:t xml:space="preserve">slash-body separator (one space) in forms 3/4; stacked prefixes (</w:t>
      </w:r>
      <w:r>
        <w:rPr>
          <w:rStyle w:val="VerbatimChar"/>
        </w:rPr>
        <w:t xml:space="preserve">A :: B :: rest</w:t>
      </w:r>
      <w:r>
        <w:t xml:space="preserve">) apply</w:t>
      </w:r>
      <w:r>
        <w:t xml:space="preserve"> </w:t>
      </w:r>
      <w:r>
        <w:t xml:space="preserve">outer-to-inner, left-to-right (expand</w:t>
      </w:r>
      <w:r>
        <w:t xml:space="preserve"> </w:t>
      </w:r>
      <w:r>
        <w:rPr>
          <w:rStyle w:val="VerbatimChar"/>
        </w:rPr>
        <w:t xml:space="preserve">A</w:t>
      </w:r>
      <w:r>
        <w:t xml:space="preserve">, re-scan, expand</w:t>
      </w:r>
      <w:r>
        <w:t xml:space="preserve"> </w:t>
      </w:r>
      <w:r>
        <w:rPr>
          <w:rStyle w:val="VerbatimChar"/>
        </w:rPr>
        <w:t xml:space="preserve">B</w:t>
      </w:r>
      <w:r>
        <w:t xml:space="preserve">, then the</w:t>
      </w:r>
      <w:r>
        <w:t xml:space="preserve"> </w:t>
      </w:r>
      <w:r>
        <w:t xml:space="preserve">residual is the task); a leading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escapes the prefix for the</w:t>
      </w:r>
      <w:r>
        <w:t xml:space="preserve"> </w:t>
      </w:r>
      <w:r>
        <w:rPr>
          <w:rStyle w:val="VerbatimChar"/>
        </w:rPr>
        <w:t xml:space="preserve">::</w:t>
      </w:r>
      <w:r>
        <w:t xml:space="preserve">, arrow,</w:t>
      </w:r>
      <w:r>
        <w:t xml:space="preserve"> </w:t>
      </w:r>
      <w:r>
        <w:t xml:space="preserve">and slash forms (</w:t>
      </w:r>
      <w:r>
        <w:rPr>
          <w:rStyle w:val="VerbatimChar"/>
        </w:rPr>
        <w:t xml:space="preserve">\BACKGROUND :: x</w:t>
      </w:r>
      <w:r>
        <w:t xml:space="preserve">,</w:t>
      </w:r>
      <w:r>
        <w:t xml:space="preserve"> </w:t>
      </w:r>
      <w:r>
        <w:rPr>
          <w:rStyle w:val="VerbatimChar"/>
        </w:rPr>
        <w:t xml:space="preserve">\BACKGROUND ---&gt; x</w:t>
      </w:r>
      <w:r>
        <w:t xml:space="preserve">,</w:t>
      </w:r>
      <w:r>
        <w:t xml:space="preserve"> </w:t>
      </w:r>
      <w:r>
        <w:rPr>
          <w:rStyle w:val="VerbatimChar"/>
        </w:rPr>
        <w:t xml:space="preserve">\/BACKGROUND x</w:t>
      </w:r>
      <w:r>
        <w:t xml:space="preserve"> </w:t>
      </w:r>
      <w:r>
        <w:t xml:space="preserve">—</w:t>
      </w:r>
      <w:r>
        <w:t xml:space="preserve"> </w:t>
      </w:r>
      <w:r>
        <w:t xml:space="preserve">treat literally, strip the backslash, NO expansion) so action names can be</w:t>
      </w:r>
      <w:r>
        <w:t xml:space="preserve"> </w:t>
      </w:r>
      <w:r>
        <w:t xml:space="preserve">discussed.</w:t>
      </w:r>
      <w:r>
        <w:t xml:space="preserve"> </w:t>
      </w:r>
      <w:r>
        <w:rPr>
          <w:b/>
          <w:bCs/>
        </w:rPr>
        <w:t xml:space="preserve">Conflict rule</w:t>
      </w:r>
      <w:r>
        <w:rPr>
          <w:b/>
          <w:bCs/>
        </w:rPr>
        <w:t xml:space="preserve"> </w:t>
      </w:r>
      <w:r>
        <w:rPr>
          <w:b/>
          <w:bCs/>
        </w:rPr>
        <w:t xml:space="preserve">(slash form):</w:t>
      </w:r>
      <w:r>
        <w:t xml:space="preserve"> </w:t>
      </w:r>
      <w:r>
        <w:rPr>
          <w:rStyle w:val="VerbatimChar"/>
        </w:rPr>
        <w:t xml:space="preserve">/ACTION_NAME</w:t>
      </w:r>
      <w:r>
        <w:t xml:space="preserve"> </w:t>
      </w:r>
      <w:r>
        <w:t xml:space="preserve">(form 3) is honored as the action ONLY when</w:t>
      </w:r>
      <w:r>
        <w:t xml:space="preserve"> </w:t>
      </w:r>
      <w:r>
        <w:rPr>
          <w:rStyle w:val="VerbatimChar"/>
        </w:rPr>
        <w:t xml:space="preserve">ACTION_NAME</w:t>
      </w:r>
      <w:r>
        <w:t xml:space="preserve"> </w:t>
      </w:r>
      <w:r>
        <w:t xml:space="preserve">(case-folded) does not collide with a built-in/host slash command</w:t>
      </w:r>
      <w:r>
        <w:t xml:space="preserve"> </w:t>
      </w:r>
      <w:r>
        <w:t xml:space="preserve">(registry</w:t>
      </w:r>
      <w:r>
        <w:t xml:space="preserve"> </w:t>
      </w:r>
      <w:r>
        <w:rPr>
          <w:rStyle w:val="VerbatimChar"/>
        </w:rPr>
        <w:t xml:space="preserve">slash_bare: auto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slash_conflicts: [..]</w:t>
      </w:r>
      <w:r>
        <w:t xml:space="preserve">); form 4</w:t>
      </w:r>
      <w:r>
        <w:t xml:space="preserve"> </w:t>
      </w:r>
      <w:r>
        <w:t xml:space="preserve">(</w:t>
      </w:r>
      <w:r>
        <w:rPr>
          <w:rStyle w:val="VerbatimChar"/>
        </w:rPr>
        <w:t xml:space="preserve">/PREFIX::ACTION_NAME</w:t>
      </w:r>
      <w:r>
        <w:t xml:space="preserve">) is ALWAYS unambiguous and always honored. An unknown</w:t>
      </w:r>
      <w:r>
        <w:t xml:space="preserve"> </w:t>
      </w:r>
      <w:r>
        <w:t xml:space="preserve">token that matches the grammar shape (any of the 5 forms) but is NOT registered</w:t>
      </w:r>
      <w:r>
        <w:t xml:space="preserve"> </w:t>
      </w:r>
      <w:r>
        <w:t xml:space="preserve">is NEVER silently expanded or silently dropped — ask which registered action</w:t>
      </w:r>
      <w:r>
        <w:t xml:space="preserve"> </w:t>
      </w:r>
      <w:r>
        <w:t xml:space="preserve">was meant (§11.4.66 / §11.4.105) or treat it as a literal prompt, NEVER invent</w:t>
      </w:r>
      <w:r>
        <w:t xml:space="preserve"> </w:t>
      </w:r>
      <w:r>
        <w:t xml:space="preserve">an expansion (§11.4.6); any prompt not satisfying the grammar is an ordinary</w:t>
      </w:r>
      <w:r>
        <w:t xml:space="preserve"> </w:t>
      </w:r>
      <w:r>
        <w:t xml:space="preserve">prompt and the system is a no-op. The registered action</w:t>
      </w:r>
      <w:r>
        <w:t xml:space="preserve"> </w:t>
      </w:r>
      <w:r>
        <w:rPr>
          <w:rStyle w:val="VerbatimChar"/>
          <w:b/>
          <w:bCs/>
        </w:rPr>
        <w:t xml:space="preserve">BACKGROUND</w:t>
      </w:r>
      <w:r>
        <w:t xml:space="preserve"> </w:t>
      </w:r>
      <w:r>
        <w:t xml:space="preserve">expands</w:t>
      </w:r>
      <w:r>
        <w:t xml:space="preserve"> </w:t>
      </w:r>
      <w:r>
        <w:t xml:space="preserve">to:</w:t>
      </w:r>
      <w:r>
        <w:t xml:space="preserve"> </w:t>
      </w:r>
      <w:r>
        <w:rPr>
          <w:i/>
          <w:iCs/>
        </w:rPr>
        <w:t xml:space="preserve">"The following prompt that we will provide MUST BE executed in background</w:t>
      </w:r>
      <w:r>
        <w:rPr>
          <w:i/>
          <w:iCs/>
        </w:rPr>
        <w:t xml:space="preserve"> </w:t>
      </w:r>
      <w:r>
        <w:rPr>
          <w:i/>
          <w:iCs/>
        </w:rPr>
        <w:t xml:space="preserve">in parallel with all main work streams using the subagents-driven development</w:t>
      </w:r>
      <w:r>
        <w:rPr>
          <w:i/>
          <w:iCs/>
        </w:rPr>
        <w:t xml:space="preserve"> </w:t>
      </w:r>
      <w:r>
        <w:rPr>
          <w:i/>
          <w:iCs/>
        </w:rPr>
        <w:t xml:space="preserve">approach! All work done MUST PRODUCE rock solid evidence covered with hard</w:t>
      </w:r>
      <w:r>
        <w:rPr>
          <w:i/>
          <w:iCs/>
        </w:rPr>
        <w:t xml:space="preserve"> </w:t>
      </w:r>
      <w:r>
        <w:rPr>
          <w:i/>
          <w:iCs/>
        </w:rPr>
        <w:t xml:space="preserve">physical proof(s) that all done is working as expected and as specified without</w:t>
      </w:r>
      <w:r>
        <w:rPr>
          <w:i/>
          <w:iCs/>
        </w:rPr>
        <w:t xml:space="preserve"> </w:t>
      </w:r>
      <w:r>
        <w:rPr>
          <w:i/>
          <w:iCs/>
        </w:rPr>
        <w:t xml:space="preserve">any false results and without any bluff!"</w:t>
      </w:r>
      <w:r>
        <w:t xml:space="preserve"> </w:t>
      </w:r>
      <w:r>
        <w:t xml:space="preserve">(composes §11.4.20 / §11.4.70</w:t>
      </w:r>
      <w:r>
        <w:t xml:space="preserve"> </w:t>
      </w:r>
      <w:r>
        <w:t xml:space="preserve">subagent-driven, §11.4.58 / §11.4.103 parallel streams, §11.4.89 background</w:t>
      </w:r>
      <w:r>
        <w:t xml:space="preserve"> </w:t>
      </w:r>
      <w:r>
        <w:t xml:space="preserve">execution, §11.4.5 / §11.4.69 / §11.4.107 captured physical evidence, §11.4</w:t>
      </w:r>
      <w:r>
        <w:t xml:space="preserve"> </w:t>
      </w:r>
      <w:r>
        <w:t xml:space="preserve">anti-bluff). A second registered action</w:t>
      </w:r>
      <w:r>
        <w:t xml:space="preserve"> </w:t>
      </w:r>
      <w:r>
        <w:rPr>
          <w:rStyle w:val="VerbatimChar"/>
          <w:b/>
          <w:bCs/>
        </w:rPr>
        <w:t xml:space="preserve">REMINDER</w:t>
      </w:r>
      <w:r>
        <w:t xml:space="preserve"> </w:t>
      </w:r>
      <w:r>
        <w:t xml:space="preserve">re-surfaces</w:t>
      </w:r>
      <w:r>
        <w:t xml:space="preserve"> </w:t>
      </w:r>
      <w:r>
        <w:t xml:space="preserve">previously-scheduled, CRITICAL, status-UNCERTAIN work: FIRST verify the ACTUAL</w:t>
      </w:r>
      <w:r>
        <w:t xml:space="preserve"> </w:t>
      </w:r>
      <w:r>
        <w:t xml:space="preserve">current status from captured evidence (never assume done or not-done —</w:t>
      </w:r>
      <w:r>
        <w:t xml:space="preserve"> </w:t>
      </w:r>
      <w:r>
        <w:t xml:space="preserve">§11.4.6 no-guessing), THEN act on the delta — report the captured proof if</w:t>
      </w:r>
      <w:r>
        <w:t xml:space="preserve"> </w:t>
      </w:r>
      <w:r>
        <w:t xml:space="preserve">genuinely complete, resume from the exact point if partial, action it NOW if</w:t>
      </w:r>
      <w:r>
        <w:t xml:space="preserve"> </w:t>
      </w:r>
      <w:r>
        <w:t xml:space="preserve">not started, or surface the block per §11.4.66/§11.4.101 — always producing a</w:t>
      </w:r>
      <w:r>
        <w:t xml:space="preserve"> </w:t>
      </w:r>
      <w:r>
        <w:t xml:space="preserve">status verdict (composes §11.4.6 / §11.4.87 / §11.4.94 / §11.4.97 / §11.4.103 /</w:t>
      </w:r>
      <w:r>
        <w:t xml:space="preserve"> </w:t>
      </w:r>
      <w:r>
        <w:t xml:space="preserve">§11.4.108 / §11.4.130 / §11.4.147).</w:t>
      </w:r>
    </w:p>
    <w:p>
      <w:pPr>
        <w:pStyle w:val="BlockText"/>
      </w:pPr>
      <w:r>
        <w:rPr>
          <w:b/>
          <w:bCs/>
        </w:rPr>
        <w:t xml:space="preserve">Severity / handling-priority markers (§11.4.140 extension, 2026-07-16).</w:t>
      </w:r>
      <w:r>
        <w:t xml:space="preserve"> </w:t>
      </w:r>
      <w:r>
        <w:t xml:space="preserve">Three further registered actions tag the REMAINDER of the prompt with a</w:t>
      </w:r>
      <w:r>
        <w:t xml:space="preserve"> </w:t>
      </w:r>
      <w:r>
        <w:t xml:space="preserve">HANDLING PRIORITY (as</w:t>
      </w:r>
      <w:r>
        <w:t xml:space="preserve"> </w:t>
      </w:r>
      <w:r>
        <w:rPr>
          <w:rStyle w:val="VerbatimChar"/>
        </w:rPr>
        <w:t xml:space="preserve">BACKGROUND</w:t>
      </w:r>
      <w:r>
        <w:t xml:space="preserve"> </w:t>
      </w:r>
      <w:r>
        <w:t xml:space="preserve">tags it "run in background"):</w:t>
      </w:r>
      <w:r>
        <w:t xml:space="preserve"> </w:t>
      </w:r>
      <w:r>
        <w:rPr>
          <w:rStyle w:val="VerbatimChar"/>
          <w:b/>
          <w:bCs/>
        </w:rPr>
        <w:t xml:space="preserve">CRITICAL</w:t>
      </w:r>
      <w:r>
        <w:t xml:space="preserve"> </w:t>
      </w:r>
      <w:r>
        <w:t xml:space="preserve">(highest-priority / potentially release-blocking — address with maximum urgency</w:t>
      </w:r>
    </w:p>
    <w:p>
      <w:pPr>
        <w:pStyle w:val="Compact"/>
        <w:numPr>
          <w:ilvl w:val="0"/>
          <w:numId w:val="1001"/>
        </w:numPr>
      </w:pPr>
      <w:r>
        <w:t xml:space="preserve">rigor ahead of lower-priority work, track it, auto-activate §11.4.102</w:t>
      </w:r>
      <w:r>
        <w:t xml:space="preserve"> </w:t>
      </w:r>
      <w:r>
        <w:t xml:space="preserve">systematic-debugging when an issue is involved, do NOT defer it),</w:t>
      </w:r>
      <w:r>
        <w:t xml:space="preserve"> </w:t>
      </w:r>
      <w:r>
        <w:rPr>
          <w:rStyle w:val="VerbatimChar"/>
          <w:b/>
          <w:bCs/>
        </w:rPr>
        <w:t xml:space="preserve">IMPORTANT</w:t>
      </w:r>
      <w:r>
        <w:t xml:space="preserve"> </w:t>
      </w:r>
      <w:r>
        <w:t xml:space="preserve">(high-priority, above routine work but below CRITICAL — track it, full</w:t>
      </w:r>
      <w:r>
        <w:t xml:space="preserve"> </w:t>
      </w:r>
      <w:r>
        <w:t xml:space="preserve">anti-bluff rigor), and</w:t>
      </w:r>
      <w:r>
        <w:t xml:space="preserve"> </w:t>
      </w:r>
      <w:r>
        <w:rPr>
          <w:rStyle w:val="VerbatimChar"/>
          <w:b/>
          <w:bCs/>
        </w:rPr>
        <w:t xml:space="preserve">NOTE</w:t>
      </w:r>
      <w:r>
        <w:t xml:space="preserve"> </w:t>
      </w:r>
      <w:r>
        <w:t xml:space="preserve">(capture the remainder as durable CONTEXT — in</w:t>
      </w:r>
      <w:r>
        <w:t xml:space="preserve"> </w:t>
      </w:r>
      <w:r>
        <w:t xml:space="preserve">the operator request-history ledger §11.4.208 / §11.4.210 + persistent agent</w:t>
      </w:r>
      <w:r>
        <w:t xml:space="preserve"> </w:t>
      </w:r>
      <w:r>
        <w:t xml:space="preserve">memory when it is a non-obvious project fact — applied when relevant, NOT an</w:t>
      </w:r>
      <w:r>
        <w:t xml:space="preserve"> </w:t>
      </w:r>
      <w:r>
        <w:t xml:space="preserve">urgent action unless it contains an explicit action; §11.4.6 record only what</w:t>
      </w:r>
      <w:r>
        <w:t xml:space="preserve"> </w:t>
      </w:r>
      <w:r>
        <w:t xml:space="preserve">the note says, never invent). All six grammar forms work (</w:t>
      </w:r>
      <w:r>
        <w:rPr>
          <w:rStyle w:val="VerbatimChar"/>
        </w:rPr>
        <w:t xml:space="preserve">CRITICAL: x</w:t>
      </w:r>
      <w:r>
        <w:t xml:space="preserve"> </w:t>
      </w:r>
      <w:r>
        <w:t xml:space="preserve">≡</w:t>
      </w:r>
      <w:r>
        <w:t xml:space="preserve"> </w:t>
      </w:r>
      <w:r>
        <w:rPr>
          <w:rStyle w:val="VerbatimChar"/>
        </w:rPr>
        <w:t xml:space="preserve">CRITICAL :: x</w:t>
      </w:r>
      <w:r>
        <w:t xml:space="preserve"> </w:t>
      </w:r>
      <w:r>
        <w:t xml:space="preserve">≡</w:t>
      </w:r>
      <w:r>
        <w:t xml:space="preserve"> </w:t>
      </w:r>
      <w:r>
        <w:rPr>
          <w:rStyle w:val="VerbatimChar"/>
        </w:rPr>
        <w:t xml:space="preserve">CRITICAL ---&gt; x</w:t>
      </w:r>
      <w:r>
        <w:t xml:space="preserve"> </w:t>
      </w:r>
      <w:r>
        <w:t xml:space="preserve">≡</w:t>
      </w:r>
      <w:r>
        <w:t xml:space="preserve"> </w:t>
      </w:r>
      <w:r>
        <w:rPr>
          <w:rStyle w:val="VerbatimChar"/>
        </w:rPr>
        <w:t xml:space="preserve">/CRITICAL x</w:t>
      </w:r>
      <w:r>
        <w:t xml:space="preserve"> </w:t>
      </w:r>
      <w:r>
        <w:t xml:space="preserve">≡</w:t>
      </w:r>
      <w:r>
        <w:t xml:space="preserve"> </w:t>
      </w:r>
      <w:r>
        <w:rPr>
          <w:rStyle w:val="VerbatimChar"/>
        </w:rPr>
        <w:t xml:space="preserve">/DEFAULT::CRITICAL x</w:t>
      </w:r>
      <w:r>
        <w:t xml:space="preserve">).</w:t>
      </w:r>
      <w:r>
        <w:t xml:space="preserve"> </w:t>
      </w:r>
      <w:r>
        <w:t xml:space="preserve">These markers change HOW the remainder is handled (priority + rigor); they do</w:t>
      </w:r>
      <w:r>
        <w:t xml:space="preserve"> </w:t>
      </w:r>
      <w:r>
        <w:t xml:space="preserve">NOT pick a workable-item Type — when the remainder is a report the §11.4.202</w:t>
      </w:r>
      <w:r>
        <w:t xml:space="preserve"> </w:t>
      </w:r>
      <w:r>
        <w:t xml:space="preserve">BUG / TASK / ISSUE machinery still classifies + tracks it.</w:t>
      </w:r>
    </w:p>
    <w:p>
      <w:pPr>
        <w:pStyle w:val="BlockText"/>
      </w:pPr>
      <w:r>
        <w:rPr>
          <w:b/>
          <w:bCs/>
        </w:rPr>
        <w:t xml:space="preserve">Sub-system shortcuts (§11.4.140 extension, 2026-07-14).</w:t>
      </w:r>
      <w:r>
        <w:t xml:space="preserve"> </w:t>
      </w:r>
      <w:r>
        <w:t xml:space="preserve">When the</w:t>
      </w:r>
      <w:r>
        <w:t xml:space="preserve"> </w:t>
      </w:r>
      <w:r>
        <w:t xml:space="preserve">first-non-blank-line grammar-shaped token is NOT a registered action but</w:t>
      </w:r>
      <w:r>
        <w:t xml:space="preserve"> </w:t>
      </w:r>
      <w:r>
        <w:t xml:space="preserve">NAMES an incorporated SUB-SYSTEM / submodule, it expands to a SUB-SYSTEM</w:t>
      </w:r>
      <w:r>
        <w:t xml:space="preserve"> </w:t>
      </w:r>
      <w:r>
        <w:t xml:space="preserve">CONTEXT injection (repository + org + where-checked-out + §11.4.28 equal-</w:t>
      </w:r>
      <w:r>
        <w:t xml:space="preserve"> </w:t>
      </w:r>
      <w:r>
        <w:t xml:space="preserve">codebase / decoupling / dependency-layout + §11.4.37 fetch-first + §11.4.113</w:t>
      </w:r>
      <w:r>
        <w:t xml:space="preserve"> </w:t>
      </w:r>
      <w:r>
        <w:t xml:space="preserve">no-force-push + §11.4.183 full-constitution + §11.4/§11.4.69 anti-bluff) and</w:t>
      </w:r>
      <w:r>
        <w:t xml:space="preserve"> </w:t>
      </w:r>
      <w:r>
        <w:t xml:space="preserve">the remainder of the prompt is the task to perform ON that sub-system —</w:t>
      </w:r>
      <w:r>
        <w:t xml:space="preserve"> </w:t>
      </w:r>
      <w:r>
        <w:t xml:space="preserve">e.g.</w:t>
      </w:r>
      <w:r>
        <w:t xml:space="preserve"> </w:t>
      </w:r>
      <w:r>
        <w:rPr>
          <w:rStyle w:val="VerbatimChar"/>
        </w:rPr>
        <w:t xml:space="preserve">HELIXQA :: run the atmosphere bank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PRESENTER ---&gt; fix the pill</w:t>
      </w:r>
      <w:r>
        <w:t xml:space="preserve">,</w:t>
      </w:r>
      <w:r>
        <w:t xml:space="preserve"> </w:t>
      </w:r>
      <w:r>
        <w:rPr>
          <w:rStyle w:val="VerbatimChar"/>
        </w:rPr>
        <w:t xml:space="preserve">/CONTAINERS rebuild the pod</w:t>
      </w:r>
      <w:r>
        <w:t xml:space="preserve">. Two data sources feed resolution: (a) the</w:t>
      </w:r>
      <w:r>
        <w:t xml:space="preserve"> </w:t>
      </w:r>
      <w:r>
        <w:t xml:space="preserve">curated Helix-ecosystem catalogue in</w:t>
      </w:r>
      <w:r>
        <w:t xml:space="preserve"> </w:t>
      </w:r>
      <w:r>
        <w:rPr>
          <w:rStyle w:val="VerbatimChar"/>
        </w:rPr>
        <w:t xml:space="preserve">subsystems:</w:t>
      </w:r>
      <w:r>
        <w:t xml:space="preserve"> </w:t>
      </w:r>
      <w:r>
        <w:t xml:space="preserve">of the registry (human</w:t>
      </w:r>
      <w:r>
        <w:t xml:space="preserve"> </w:t>
      </w:r>
      <w:r>
        <w:t xml:space="preserve">abbreviations like</w:t>
      </w:r>
      <w:r>
        <w:t xml:space="preserve"> </w:t>
      </w:r>
      <w:r>
        <w:rPr>
          <w:rStyle w:val="VerbatimChar"/>
        </w:rPr>
        <w:t xml:space="preserve">HXOTA</w:t>
      </w:r>
      <w:r>
        <w:t xml:space="preserve"> </w:t>
      </w:r>
      <w:r>
        <w:t xml:space="preserve">→ HelixOTA), and (b) RECURSIVE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discovery from the invoking project's own root, so EVERY submodule anywhere</w:t>
      </w:r>
      <w:r>
        <w:t xml:space="preserve"> </w:t>
      </w:r>
      <w:r>
        <w:t xml:space="preserve">in the graph — and any newly-added one — auto-derives its UPPERCASE alias</w:t>
      </w:r>
      <w:r>
        <w:t xml:space="preserve"> </w:t>
      </w:r>
      <w:r>
        <w:t xml:space="preserve">tokens (name / snake / camel-split / abbreviation) out-of-box with no</w:t>
      </w:r>
      <w:r>
        <w:t xml:space="preserve"> </w:t>
      </w:r>
      <w:r>
        <w:t xml:space="preserve">hand-maintained list. A registered behavioral action ALWAYS wins a token</w:t>
      </w:r>
      <w:r>
        <w:t xml:space="preserve"> </w:t>
      </w:r>
      <w:r>
        <w:t xml:space="preserve">collision; duplicate checkouts of the same submodule collapse to one</w:t>
      </w:r>
      <w:r>
        <w:t xml:space="preserve"> </w:t>
      </w:r>
      <w:r>
        <w:t xml:space="preserve">sub-system; an ambiguous (multi-target) or lowercase token NEVER expands and</w:t>
      </w:r>
      <w:r>
        <w:t xml:space="preserve"> </w:t>
      </w:r>
      <w:r>
        <w:t xml:space="preserve">falls to the clarify path (§11.4.6). Same five grammar forms, same</w:t>
      </w:r>
      <w:r>
        <w:t xml:space="preserve"> </w:t>
      </w:r>
      <w:r>
        <w:t xml:space="preserve">first-non-blank-line anchor, same</w:t>
      </w:r>
      <w:r>
        <w:t xml:space="preserve"> </w:t>
      </w:r>
      <w:r>
        <w:rPr>
          <w:rStyle w:val="VerbatimChar"/>
        </w:rPr>
        <w:t xml:space="preserve">\</w:t>
      </w:r>
      <w:r>
        <w:t xml:space="preserve">-escape. The distinguishing result field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∈ {</w:t>
      </w:r>
      <w:r>
        <w:rPr>
          <w:rStyle w:val="VerbatimChar"/>
        </w:rPr>
        <w:t xml:space="preserve">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subsystem</w:t>
      </w:r>
      <w:r>
        <w:t xml:space="preserve">}.</w:t>
      </w:r>
    </w:p>
    <w:p>
      <w:pPr>
        <w:pStyle w:val="BlockText"/>
      </w:pPr>
      <w:r>
        <w:rPr>
          <w:b/>
          <w:bCs/>
        </w:rPr>
        <w:t xml:space="preserve">Reporting directives + the single-colon form (§11.4.202, 2026-07-15).</w:t>
      </w:r>
      <w:r>
        <w:t xml:space="preserve"> </w:t>
      </w:r>
      <w:r>
        <w:t xml:space="preserve">Three further registered actions turn a plain-language report into a REAL,</w:t>
      </w:r>
      <w:r>
        <w:t xml:space="preserve"> </w:t>
      </w:r>
      <w:r>
        <w:t xml:space="preserve">tracked, fully-synced workable item — never a prose acknowledgement:</w:t>
      </w:r>
      <w:r>
        <w:t xml:space="preserve"> </w:t>
      </w:r>
      <w:r>
        <w:rPr>
          <w:rStyle w:val="VerbatimChar"/>
          <w:b/>
          <w:bCs/>
        </w:rPr>
        <w:t xml:space="preserve">BUG</w:t>
      </w:r>
      <w:r>
        <w:t xml:space="preserve"> </w:t>
      </w:r>
      <w:r>
        <w:t xml:space="preserve">(Type=Bug),</w:t>
      </w:r>
      <w:r>
        <w:t xml:space="preserve"> </w:t>
      </w:r>
      <w:r>
        <w:rPr>
          <w:rStyle w:val="VerbatimChar"/>
          <w:b/>
          <w:bCs/>
        </w:rPr>
        <w:t xml:space="preserve">TASK</w:t>
      </w:r>
      <w:r>
        <w:t xml:space="preserve"> </w:t>
      </w:r>
      <w:r>
        <w:t xml:space="preserve">(Type=Task), and</w:t>
      </w:r>
      <w:r>
        <w:t xml:space="preserve"> </w:t>
      </w:r>
      <w:r>
        <w:rPr>
          <w:rStyle w:val="VerbatimChar"/>
          <w:b/>
          <w:bCs/>
        </w:rPr>
        <w:t xml:space="preserve">ISSUE</w:t>
      </w:r>
      <w:r>
        <w:t xml:space="preserve"> </w:t>
      </w:r>
      <w:r>
        <w:t xml:space="preserve">(a generic</w:t>
      </w:r>
      <w:r>
        <w:t xml:space="preserve"> </w:t>
      </w:r>
      <w:r>
        <w:t xml:space="preserve">report, CLASSIFIED into the §11.4.16 CLOSED set {Bug | Feature | Task} —</w:t>
      </w:r>
      <w:r>
        <w:t xml:space="preserve"> </w:t>
      </w:r>
      <w:r>
        <w:rPr>
          <w:rStyle w:val="VerbatimChar"/>
        </w:rPr>
        <w:t xml:space="preserve">ISSUE</w:t>
      </w:r>
      <w:r>
        <w:t xml:space="preserve"> </w:t>
      </w:r>
      <w:r>
        <w:t xml:space="preserve">is a reporting CHANNEL, never a fourth type). They add a SIXTH</w:t>
      </w:r>
      <w:r>
        <w:t xml:space="preserve"> </w:t>
      </w:r>
      <w:r>
        <w:t xml:space="preserve">equivalent grammar form — the</w:t>
      </w:r>
      <w:r>
        <w:t xml:space="preserve"> </w:t>
      </w:r>
      <w:r>
        <w:rPr>
          <w:b/>
          <w:bCs/>
        </w:rPr>
        <w:t xml:space="preserve">single-colon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NAME: &lt;rest&gt;</w:t>
      </w:r>
      <w:r>
        <w:t xml:space="preserve"> </w:t>
      </w:r>
      <w:r>
        <w:t xml:space="preserve">form operators</w:t>
      </w:r>
      <w:r>
        <w:t xml:space="preserve"> </w:t>
      </w:r>
      <w:r>
        <w:t xml:space="preserve">actually type (</w:t>
      </w:r>
      <w:r>
        <w:rPr>
          <w:rStyle w:val="VerbatimChar"/>
        </w:rPr>
        <w:t xml:space="preserve">ISSUE: subtitles are late</w:t>
      </w:r>
      <w:r>
        <w:t xml:space="preserve">) — alongside the five above</w:t>
      </w:r>
      <w:r>
        <w:t xml:space="preserve"> </w:t>
      </w:r>
      <w:r>
        <w:t xml:space="preserve">(</w:t>
      </w:r>
      <w:r>
        <w:rPr>
          <w:rStyle w:val="VerbatimChar"/>
        </w:rPr>
        <w:t xml:space="preserve">BUG :: x</w:t>
      </w:r>
      <w:r>
        <w:t xml:space="preserve"> </w:t>
      </w:r>
      <w:r>
        <w:t xml:space="preserve">≡</w:t>
      </w:r>
      <w:r>
        <w:t xml:space="preserve"> </w:t>
      </w:r>
      <w:r>
        <w:rPr>
          <w:rStyle w:val="VerbatimChar"/>
        </w:rPr>
        <w:t xml:space="preserve">BUG ---&gt; x</w:t>
      </w:r>
      <w:r>
        <w:t xml:space="preserve"> </w:t>
      </w:r>
      <w:r>
        <w:t xml:space="preserve">≡</w:t>
      </w:r>
      <w:r>
        <w:t xml:space="preserve"> </w:t>
      </w:r>
      <w:r>
        <w:rPr>
          <w:rStyle w:val="VerbatimChar"/>
        </w:rPr>
        <w:t xml:space="preserve">/DEFAULT::BUG x</w:t>
      </w:r>
      <w:r>
        <w:t xml:space="preserve"> </w:t>
      </w:r>
      <w:r>
        <w:t xml:space="preserve">≡</w:t>
      </w:r>
      <w:r>
        <w:t xml:space="preserve"> </w:t>
      </w:r>
      <w:r>
        <w:rPr>
          <w:rStyle w:val="VerbatimChar"/>
        </w:rPr>
        <w:t xml:space="preserve">BUG: x</w:t>
      </w:r>
      <w:r>
        <w:t xml:space="preserve">). The single-colon</w:t>
      </w:r>
      <w:r>
        <w:t xml:space="preserve"> </w:t>
      </w:r>
      <w:r>
        <w:t xml:space="preserve">form is</w:t>
      </w:r>
      <w:r>
        <w:t xml:space="preserve"> </w:t>
      </w:r>
      <w:r>
        <w:rPr>
          <w:b/>
          <w:bCs/>
        </w:rPr>
        <w:t xml:space="preserve">REGISTERED-ACTION-ONLY by construction</w:t>
      </w:r>
      <w:r>
        <w:t xml:space="preserve">: a single-colon token that</w:t>
      </w:r>
      <w:r>
        <w:t xml:space="preserve"> </w:t>
      </w:r>
      <w:r>
        <w:t xml:space="preserve">is NOT a registered action is a NO-OP (an ordinary prompt), NEVER an ASK and</w:t>
      </w:r>
      <w:r>
        <w:t xml:space="preserve"> </w:t>
      </w:r>
      <w:r>
        <w:t xml:space="preserve">NEVER a sub-system shortcut — because ordinary prose (</w:t>
      </w:r>
      <w:r>
        <w:rPr>
          <w:rStyle w:val="VerbatimChar"/>
        </w:rPr>
        <w:t xml:space="preserve">TODO: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WARNING:</w:t>
      </w:r>
      <w:r>
        <w:t xml:space="preserve">,</w:t>
      </w:r>
      <w:r>
        <w:t xml:space="preserve"> </w:t>
      </w:r>
      <w:r>
        <w:rPr>
          <w:rStyle w:val="VerbatimChar"/>
        </w:rPr>
        <w:t xml:space="preserve">FIXME:</w:t>
      </w:r>
      <w:r>
        <w:t xml:space="preserve">) shares that shape and must never be questioned</w:t>
      </w:r>
      <w:r>
        <w:t xml:space="preserve"> </w:t>
      </w:r>
      <w:r>
        <w:t xml:space="preserve">(§11.4.6); the other five forms keep their ASK-on-unknown behaviour. Host</w:t>
      </w:r>
      <w:r>
        <w:t xml:space="preserve"> </w:t>
      </w:r>
      <w:r>
        <w:t xml:space="preserve">collisions use the EXISTING conflict mechanism: the bare</w:t>
      </w:r>
      <w:r>
        <w:t xml:space="preserve"> </w:t>
      </w:r>
      <w:r>
        <w:rPr>
          <w:rStyle w:val="VerbatimChar"/>
        </w:rPr>
        <w:t xml:space="preserve">/bug</w:t>
      </w:r>
      <w:r>
        <w:t xml:space="preserve"> </w:t>
      </w:r>
      <w:r>
        <w:t xml:space="preserve">is a</w:t>
      </w:r>
      <w:r>
        <w:t xml:space="preserve"> </w:t>
      </w:r>
      <w:r>
        <w:t xml:space="preserve">documented Claude Code built-in, so</w:t>
      </w:r>
      <w:r>
        <w:t xml:space="preserve"> </w:t>
      </w:r>
      <w:r>
        <w:rPr>
          <w:rStyle w:val="VerbatimChar"/>
        </w:rPr>
        <w:t xml:space="preserve">BUG</w:t>
      </w:r>
      <w:r>
        <w:t xml:space="preserve"> </w:t>
      </w:r>
      <w:r>
        <w:t xml:space="preserve">declares</w:t>
      </w:r>
      <w:r>
        <w:t xml:space="preserve"> </w:t>
      </w:r>
      <w:r>
        <w:rPr>
          <w:rStyle w:val="VerbatimChar"/>
        </w:rPr>
        <w:t xml:space="preserve">slash_conflicts: [bug]</w:t>
      </w:r>
      <w:r>
        <w:t xml:space="preserve"> </w:t>
      </w:r>
      <w:r>
        <w:t xml:space="preserve">and its bare slash form is not honored —</w:t>
      </w:r>
      <w:r>
        <w:t xml:space="preserve"> </w:t>
      </w:r>
      <w:r>
        <w:rPr>
          <w:rStyle w:val="VerbatimChar"/>
        </w:rPr>
        <w:t xml:space="preserve">/DEFAULT::BUG …</w:t>
      </w:r>
      <w:r>
        <w:t xml:space="preserve"> </w:t>
      </w:r>
      <w:r>
        <w:t xml:space="preserve">is always</w:t>
      </w:r>
      <w:r>
        <w:t xml:space="preserve"> </w:t>
      </w:r>
      <w:r>
        <w:t xml:space="preserve">unambiguous, and</w:t>
      </w:r>
      <w:r>
        <w:t xml:space="preserve"> </w:t>
      </w:r>
      <w:r>
        <w:rPr>
          <w:rStyle w:val="VerbatimChar"/>
        </w:rPr>
        <w:t xml:space="preserve">BUG: …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BUG :: …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BUG ---&gt; …</w:t>
      </w:r>
      <w:r>
        <w:t xml:space="preserve"> </w:t>
      </w:r>
      <w:r>
        <w:t xml:space="preserve">are never affected.</w:t>
      </w:r>
      <w:r>
        <w:t xml:space="preserve"> </w:t>
      </w:r>
      <w:r>
        <w:t xml:space="preserve">On any of these directives you MUST create the item (Status §11.4.15 + Type</w:t>
      </w:r>
      <w:r>
        <w:t xml:space="preserve"> </w:t>
      </w:r>
      <w:r>
        <w:t xml:space="preserve">§11.4.16 + stable id §11.4.54 + comprehensive structured description</w:t>
      </w:r>
      <w:r>
        <w:t xml:space="preserve"> </w:t>
      </w:r>
      <w:r>
        <w:t xml:space="preserve">§11.4.148 / §11.4.171) via the project's reporting engine</w:t>
      </w:r>
      <w:r>
        <w:t xml:space="preserve"> </w:t>
      </w:r>
      <w:r>
        <w:t xml:space="preserve">(</w:t>
      </w:r>
      <w:r>
        <w:rPr>
          <w:rStyle w:val="VerbatimChar"/>
        </w:rPr>
        <w:t xml:space="preserve">constitution/scripts/reporting/report_item.sh</w:t>
      </w:r>
      <w:r>
        <w:t xml:space="preserve">), which drives the FULL sync</w:t>
      </w:r>
      <w:r>
        <w:t xml:space="preserve"> </w:t>
      </w:r>
      <w:r>
        <w:t xml:space="preserve">— DB single-source-of-truth (§11.4.93 / §11.4.95) → every derived document</w:t>
      </w:r>
      <w:r>
        <w:t xml:space="preserve"> </w:t>
      </w:r>
      <w:r>
        <w:t xml:space="preserve">regenerated FROM the DB (§11.4.12 / §11.4.53 / §11.4.65 / §11.4.106) → every</w:t>
      </w:r>
      <w:r>
        <w:t xml:space="preserve"> </w:t>
      </w:r>
      <w:r>
        <w:t xml:space="preserve">configured external tracker (§11.4.148 D5) — SKIPPING with an honest reason</w:t>
      </w:r>
      <w:r>
        <w:t xml:space="preserve"> </w:t>
      </w:r>
      <w:r>
        <w:t xml:space="preserve">any tracker whose credentials or client are absent (§11.4.10 / §11.4.6 /</w:t>
      </w:r>
      <w:r>
        <w:t xml:space="preserve"> </w:t>
      </w:r>
      <w:r>
        <w:t xml:space="preserve">§11.4.3) and NEVER faking a push. A report that is discussed but never</w:t>
      </w:r>
      <w:r>
        <w:t xml:space="preserve"> </w:t>
      </w:r>
      <w:r>
        <w:t xml:space="preserve">tracked is a §11.4 PASS-bluff at the requirements-intake layer (§11.4.197).</w:t>
      </w:r>
    </w:p>
    <w:p>
      <w:pPr>
        <w:pStyle w:val="BlockText"/>
      </w:pPr>
      <w:r>
        <w:rPr>
          <w:b/>
          <w:bCs/>
        </w:rPr>
        <w:t xml:space="preserve">FEATURE — research-scheduling directive (§11.4.213, 2026-07-16).</w:t>
      </w:r>
      <w:r>
        <w:t xml:space="preserve"> </w:t>
      </w:r>
      <w:r>
        <w:t xml:space="preserve">A</w:t>
      </w:r>
      <w:r>
        <w:t xml:space="preserve"> </w:t>
      </w:r>
      <w:r>
        <w:t xml:space="preserve">fourth reporting-family action, structurally parallel to BUG/TASK/ISSUE but</w:t>
      </w:r>
      <w:r>
        <w:t xml:space="preserve"> </w:t>
      </w:r>
      <w:r>
        <w:t xml:space="preserve">distinct in kind: FEATURE SCHEDULES rather than synchronously executes. The</w:t>
      </w:r>
      <w:r>
        <w:t xml:space="preserve"> </w:t>
      </w:r>
      <w:r>
        <w:t xml:space="preserve">remainder of the prompt describes a feature to research and plan; the</w:t>
      </w:r>
      <w:r>
        <w:t xml:space="preserve"> </w:t>
      </w:r>
      <w:r>
        <w:t xml:space="preserve">directive creates a Type=Task / Status=Queued workable item NOW by invoking</w:t>
      </w:r>
      <w:r>
        <w:t xml:space="preserve"> </w:t>
      </w:r>
      <w:r>
        <w:t xml:space="preserve">the SAME</w:t>
      </w:r>
      <w:r>
        <w:t xml:space="preserve"> </w:t>
      </w:r>
      <w:r>
        <w:rPr>
          <w:rStyle w:val="VerbatimChar"/>
        </w:rPr>
        <w:t xml:space="preserve">report_item.sh</w:t>
      </w:r>
      <w:r>
        <w:t xml:space="preserve"> </w:t>
      </w:r>
      <w:r>
        <w:t xml:space="preserve">engine (never a duplicate implementation of the</w:t>
      </w:r>
      <w:r>
        <w:t xml:space="preserve"> </w:t>
      </w:r>
      <w:r>
        <w:t xml:space="preserve">item-creation / DB-sync / tracker-push machinery) and enqueues it in a</w:t>
      </w:r>
      <w:r>
        <w:t xml:space="preserve"> </w:t>
      </w:r>
      <w:r>
        <w:t xml:space="preserve">durable</w:t>
      </w:r>
      <w:r>
        <w:t xml:space="preserve"> </w:t>
      </w:r>
      <w:r>
        <w:rPr>
          <w:rStyle w:val="VerbatimChar"/>
        </w:rPr>
        <w:t xml:space="preserve">docs/requests/feature_queue.md</w:t>
      </w:r>
      <w:r>
        <w:t xml:space="preserve"> </w:t>
      </w:r>
      <w:r>
        <w:t xml:space="preserve">queue so it can never be silently</w:t>
      </w:r>
      <w:r>
        <w:t xml:space="preserve"> </w:t>
      </w:r>
      <w:r>
        <w:t xml:space="preserve">dropped. The item's comprehensive description embeds the full research</w:t>
      </w:r>
      <w:r>
        <w:t xml:space="preserve"> </w:t>
      </w:r>
      <w:r>
        <w:t xml:space="preserve">mandate as its acceptance-defining work program — deep web research on best</w:t>
      </w:r>
      <w:r>
        <w:t xml:space="preserve"> </w:t>
      </w:r>
      <w:r>
        <w:t xml:space="preserve">incorporation (§11.4.8 / §11.4.99 / §11.4.150), systematic-debug of every</w:t>
      </w:r>
      <w:r>
        <w:t xml:space="preserve"> </w:t>
      </w:r>
      <w:r>
        <w:t xml:space="preserve">enumerated weak-spot / gap / danger-zone with a risk-free rock-solid design</w:t>
      </w:r>
      <w:r>
        <w:t xml:space="preserve"> </w:t>
      </w:r>
      <w:r>
        <w:t xml:space="preserve">per gap (§11.4.102), always enterprise-grade / bleeding-edge / innovative,</w:t>
      </w:r>
      <w:r>
        <w:t xml:space="preserve"> </w:t>
      </w:r>
      <w:r>
        <w:t xml:space="preserve">exhaustive documentation down to lines-of-code + micro-POCs + diagrams + SQL</w:t>
      </w:r>
    </w:p>
    <w:p>
      <w:pPr>
        <w:pStyle w:val="Compact"/>
        <w:numPr>
          <w:ilvl w:val="0"/>
          <w:numId w:val="1002"/>
        </w:numPr>
      </w:pPr>
      <w:r>
        <w:t xml:space="preserve">templates (§11.4.65 / §11.4.73), reuse-first investigation of</w:t>
      </w:r>
      <w:r>
        <w:t xml:space="preserve"> </w:t>
      </w:r>
      <w:r>
        <w:t xml:space="preserve">vasic-digital / HelixDevelopment components kept decoupled (§11.4.28 /</w:t>
      </w:r>
      <w:r>
        <w:t xml:space="preserve"> </w:t>
      </w:r>
      <w:r>
        <w:t xml:space="preserve">§11.4.74 / §11.4.177), full test-type + Challenges + HelixQA planning</w:t>
      </w:r>
      <w:r>
        <w:t xml:space="preserve"> </w:t>
      </w:r>
      <w:r>
        <w:t xml:space="preserve">(§11.4.27 / §11.4.169), fine-grained phased/task/subtask breakdown,</w:t>
      </w:r>
      <w:r>
        <w:t xml:space="preserve"> </w:t>
      </w:r>
      <w:r>
        <w:t xml:space="preserve">enterprise-scalability + max-performance planning, OpenDesign UI/UX</w:t>
      </w:r>
      <w:r>
        <w:t xml:space="preserve"> </w:t>
      </w:r>
      <w:r>
        <w:t xml:space="preserve">wireframes where applicable (§11.4.162 / §11.4.190), full CodeGraph</w:t>
      </w:r>
      <w:r>
        <w:t xml:space="preserve"> </w:t>
      </w:r>
      <w:r>
        <w:t xml:space="preserve">integration (§11.4.78 / §11.4.79 / §11.4.80), and fully-synced workable</w:t>
      </w:r>
      <w:r>
        <w:t xml:space="preserve"> </w:t>
      </w:r>
      <w:r>
        <w:t xml:space="preserve">items across the SQLite SSoT + every connected external tracker (§11.4.93 /</w:t>
      </w:r>
      <w:r>
        <w:t xml:space="preserve"> </w:t>
      </w:r>
      <w:r>
        <w:t xml:space="preserve">§11.4.95 / §11.4.148 D5), honestly SKIPPING any absent tracker (§11.4.10).</w:t>
      </w:r>
      <w:r>
        <w:t xml:space="preserve"> </w:t>
      </w:r>
      <w:r>
        <w:t xml:space="preserve">The multi-day research itself is EXECUTED LATER by the standing autonomous</w:t>
      </w:r>
      <w:r>
        <w:t xml:space="preserve"> </w:t>
      </w:r>
      <w:r>
        <w:t xml:space="preserve">loop (§11.4.87 / §11.4.94 / §11.4.97 / §11.4.103 / §11.4.126) when it claims</w:t>
      </w:r>
      <w:r>
        <w:t xml:space="preserve"> </w:t>
      </w:r>
      <w:r>
        <w:t xml:space="preserve">the item, driven to a genuinely COMPLETED-and-wired or explicitly</w:t>
      </w:r>
      <w:r>
        <w:t xml:space="preserve"> </w:t>
      </w:r>
      <w:r>
        <w:t xml:space="preserve">evidence-backed CLOSED terminal state under §11.4.197 — never left un-wired</w:t>
      </w:r>
      <w:r>
        <w:t xml:space="preserve"> </w:t>
      </w:r>
      <w:r>
        <w:t xml:space="preserve">in the backlog; "scheduled" is never reported as "done" (§11.4.6).</w:t>
      </w:r>
    </w:p>
    <w:p>
      <w:pPr>
        <w:pStyle w:val="BlockText"/>
      </w:pPr>
      <w:r>
        <w:t xml:space="preserve">The system is UNIVERSAL (every CLI agent reads this block via its</w:t>
      </w:r>
      <w:r>
        <w:t xml:space="preserve"> </w:t>
      </w:r>
      <w:r>
        <w:t xml:space="preserve">context carrier per §11.4.35), extensible (new action = new registry row),</w:t>
      </w:r>
      <w:r>
        <w:t xml:space="preserve"> </w:t>
      </w:r>
      <w:r>
        <w:t xml:space="preserve">decoupled + reusable (§11.4.28), and loads out-of-the-box. Classification:</w:t>
      </w:r>
      <w:r>
        <w:t xml:space="preserve"> </w:t>
      </w:r>
      <w:r>
        <w:t xml:space="preserve">universal (§11.4.17).</w:t>
      </w:r>
      <w:r>
        <w:t xml:space="preserve"> </w:t>
      </w:r>
      <w:r>
        <w:rPr>
          <w:b/>
          <w:bCs/>
        </w:rPr>
        <w:t xml:space="preserve">Canonical authority:</w:t>
      </w:r>
      <w:r>
        <w:t xml:space="preserve"> </w:t>
      </w:r>
      <w:r>
        <w:t xml:space="preserve">constitution submodule</w:t>
      </w:r>
      <w:r>
        <w:t xml:space="preserve"> </w:t>
      </w:r>
      <w:hyperlink r:id="rId9">
        <w:r>
          <w:rPr>
            <w:rStyle w:val="VerbatimChar"/>
          </w:rPr>
          <w:t xml:space="preserve">Constitution.md</w:t>
        </w:r>
      </w:hyperlink>
      <w:r>
        <w:t xml:space="preserve"> </w:t>
      </w:r>
      <w:r>
        <w:t xml:space="preserve">§11.4.140. Non-compliance is a release</w:t>
      </w:r>
      <w:r>
        <w:t xml:space="preserve"> </w:t>
      </w:r>
      <w:r>
        <w:t xml:space="preserve">blocker. No escape hatch — no</w:t>
      </w:r>
      <w:r>
        <w:t xml:space="preserve"> </w:t>
      </w:r>
      <w:r>
        <w:rPr>
          <w:rStyle w:val="VerbatimChar"/>
        </w:rPr>
        <w:t xml:space="preserve">--skip-action-prefix</w:t>
      </w:r>
      <w:r>
        <w:t xml:space="preserve">,</w:t>
      </w:r>
      <w:r>
        <w:t xml:space="preserve"> </w:t>
      </w:r>
      <w:r>
        <w:rPr>
          <w:rStyle w:val="VerbatimChar"/>
        </w:rPr>
        <w:t xml:space="preserve">--ignore-prefix</w:t>
      </w:r>
      <w:r>
        <w:t xml:space="preserve">,</w:t>
      </w:r>
      <w:r>
        <w:t xml:space="preserve"> </w:t>
      </w:r>
      <w:r>
        <w:rPr>
          <w:rStyle w:val="VerbatimChar"/>
        </w:rPr>
        <w:t xml:space="preserve">--no-registry</w:t>
      </w:r>
      <w:r>
        <w:t xml:space="preserve">,</w:t>
      </w:r>
      <w:r>
        <w:t xml:space="preserve"> </w:t>
      </w:r>
      <w:r>
        <w:rPr>
          <w:rStyle w:val="VerbatimChar"/>
        </w:rPr>
        <w:t xml:space="preserve">--invent-expansion-OK</w:t>
      </w:r>
      <w:r>
        <w:t xml:space="preserve">,</w:t>
      </w:r>
      <w:r>
        <w:t xml:space="preserve"> </w:t>
      </w:r>
      <w:r>
        <w:rPr>
          <w:rStyle w:val="VerbatimChar"/>
        </w:rPr>
        <w:t xml:space="preserve">--single-layer-only</w:t>
      </w:r>
      <w:r>
        <w:t xml:space="preserve"> </w:t>
      </w:r>
      <w:r>
        <w:t xml:space="preserve">flag.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onstitu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onstitu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2026-10-11T22:22:05Z</dcterms:created>
  <dcterms:modified xsi:type="dcterms:W3CDTF">2026-10-11T22:22:05Z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