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ction-prefix-system--diagrams"/>
    <w:p>
      <w:pPr>
        <w:pStyle w:val="Heading1"/>
      </w:pPr>
      <w:r>
        <w:t xml:space="preserve">Action-Prefix System — Diagrams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2026-07-02T00:00:00Z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Mermaid diagrams for the §11.4.140 action-prefix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maintainers + engineers (companion to USER_GUIDE.md + MANUAL.md)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docs/research/action_prefix_system/{DESIGN.md,GRAMMAR_ADDENDUM.md,IMPLEMENTATION_REPORT.md}</w:t>
            </w:r>
          </w:p>
        </w:tc>
      </w:tr>
    </w:tbl>
    <w:p>
      <w:pPr>
        <w:pStyle w:val="BlockText"/>
      </w:pPr>
      <w:r>
        <w:t xml:space="preserve">Anti-bluff (§11.4.6): the diagrams depict only the design + the verified</w:t>
      </w:r>
      <w:r>
        <w:t xml:space="preserve"> </w:t>
      </w:r>
      <w:r>
        <w:t xml:space="preserve">implementation. All five forms — including 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 forms 2/4</w:t>
      </w:r>
      <w:r>
        <w:t xml:space="preserve"> </w:t>
      </w:r>
      <w:r>
        <w:t xml:space="preserve">and the arrow form 5 (</w:t>
      </w:r>
      <w:r>
        <w:rPr>
          <w:rStyle w:val="VerbatimChar"/>
        </w:rPr>
        <w:t xml:space="preserve">---&gt;</w:t>
      </w:r>
      <w:r>
        <w:t xml:space="preserve">) — are implemented and verified (grammar suite</w:t>
      </w:r>
      <w:r>
        <w:t xml:space="preserve"> </w:t>
      </w:r>
      <w:r>
        <w:t xml:space="preserve">166/0, paired-mutation meta-test 6/0); none remain spec-only.</w:t>
      </w:r>
    </w:p>
    <w:p>
      <w:r>
        <w:pict>
          <v:rect style="width:0;height:1.5pt" o:hralign="center" o:hrstd="t" o:hr="t"/>
        </w:pict>
      </w:r>
    </w:p>
    <w:bookmarkStart w:id="12" w:name="X66457bf9728463e70fe85ca9546122d1fe2eb42"/>
    <w:p>
      <w:pPr>
        <w:pStyle w:val="Heading2"/>
      </w:pPr>
      <w:r>
        <w:t xml:space="preserve">1. Expansion flow (prompt → prefix match → registry lookup → expand → execute)</w:t>
      </w:r>
    </w:p>
    <w:p>
      <w:pPr>
        <w:pStyle w:val="FirstParagraph"/>
      </w:pPr>
      <w:r>
        <w:t xml:space="preserve">How a single prompt is processed: detect the prefix on the first non-blank line,</w:t>
      </w:r>
      <w:r>
        <w:t xml:space="preserve"> </w:t>
      </w:r>
      <w:r>
        <w:t xml:space="preserve">handle the escape, look the token up in the registry, replace the prefix with the</w:t>
      </w:r>
      <w:r>
        <w:t xml:space="preserve"> </w:t>
      </w:r>
      <w:r>
        <w:t xml:space="preserve">expansion, then execute the residual task. This is the C-preprocessor</w:t>
      </w:r>
      <w:r>
        <w:t xml:space="preserve"> </w:t>
      </w:r>
      <w:r>
        <w:t xml:space="preserve">expand-then-rescan model applied to prompts (DESIGN.md §4).</w:t>
      </w:r>
    </w:p>
    <w:p>
      <w:pPr>
        <w:pStyle w:val="BodyText"/>
      </w:pPr>
      <w:r>
        <w:drawing>
          <wp:inline>
            <wp:extent cx="5334000" cy="12931971"/>
            <wp:effectExtent b="0" l="0" r="0" t="0"/>
            <wp:docPr descr="Mermaid diagram 1" title="" id="10" name="Picture"/>
            <a:graphic>
              <a:graphicData uri="http://schemas.openxmlformats.org/drawingml/2006/picture">
                <pic:pic>
                  <pic:nvPicPr>
                    <pic:cNvPr descr=".mermaid_assets/DIAGRAMS.mmd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3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16" w:name="Xa5fa7ad5ecd9489a0ee08a166cab8aa195204ba"/>
    <w:p>
      <w:pPr>
        <w:pStyle w:val="Heading2"/>
      </w:pPr>
      <w:r>
        <w:t xml:space="preserve">2. Two-layer architecture across CLI agents</w:t>
      </w:r>
    </w:p>
    <w:p>
      <w:pPr>
        <w:pStyle w:val="FirstParagraph"/>
      </w:pPr>
      <w:r>
        <w:t xml:space="preserve">One shared registry feeds both layers. LAYER 1 (the recognition instruction in</w:t>
      </w:r>
      <w:r>
        <w:t xml:space="preserve"> </w:t>
      </w:r>
      <w:r>
        <w:t xml:space="preserve">every context carrier) is the universal floor; LAYER 2 is the mechanical upgrade</w:t>
      </w:r>
      <w:r>
        <w:t xml:space="preserve"> </w:t>
      </w:r>
      <w:r>
        <w:t xml:space="preserve">where an agent exposes a pre-submit seam. Only Claude Code has transparent</w:t>
      </w:r>
      <w:r>
        <w:t xml:space="preserve"> </w:t>
      </w:r>
      <w:r>
        <w:t xml:space="preserve">mechanical free-form interception (the honest §11.4.3 boundary).</w:t>
      </w:r>
    </w:p>
    <w:p>
      <w:pPr>
        <w:pStyle w:val="BodyText"/>
      </w:pPr>
      <w:r>
        <w:drawing>
          <wp:inline>
            <wp:extent cx="5334000" cy="2313214"/>
            <wp:effectExtent b="0" l="0" r="0" t="0"/>
            <wp:docPr descr="Mermaid diagram 2" title="" id="14" name="Picture"/>
            <a:graphic>
              <a:graphicData uri="http://schemas.openxmlformats.org/drawingml/2006/picture">
                <pic:pic>
                  <pic:nvPicPr>
                    <pic:cNvPr descr=".mermaid_assets/DIAGRAMS.mmd-0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af1d844c0bbf55505ca95ce93c9b5b41825fa7f"/>
    <w:p>
      <w:pPr>
        <w:pStyle w:val="Heading2"/>
      </w:pPr>
      <w:r>
        <w:t xml:space="preserve">3. The 5-form grammar decision tree</w:t>
      </w:r>
    </w:p>
    <w:p>
      <w:pPr>
        <w:pStyle w:val="FirstParagraph"/>
      </w:pPr>
      <w:r>
        <w:t xml:space="preserve">Which form of the first non-blank line was used. All five forms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and verified (grammar suite 166/0, paired-mutation meta-test</w:t>
      </w:r>
      <w:r>
        <w:t xml:space="preserve"> </w:t>
      </w:r>
      <w:r>
        <w:t xml:space="preserve">6/0) per the GRAMMAR_ADDENDUM; forms 2 and 4 (the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namespace) and</w:t>
      </w:r>
      <w:r>
        <w:t xml:space="preserve"> </w:t>
      </w:r>
      <w:r>
        <w:t xml:space="preserve">form 5 (the arrow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) are no longer spec-only. All five resolve to the</w:t>
      </w:r>
      <w:r>
        <w:t xml:space="preserve"> </w:t>
      </w:r>
      <w:r>
        <w:t xml:space="preserve">same action + expansion by design.</w:t>
      </w:r>
    </w:p>
    <w:p>
      <w:pPr>
        <w:pStyle w:val="BodyText"/>
      </w:pPr>
      <w:r>
        <w:drawing>
          <wp:inline>
            <wp:extent cx="5334000" cy="4953000"/>
            <wp:effectExtent b="0" l="0" r="0" t="0"/>
            <wp:docPr descr="Mermaid diagram 3" title="" id="18" name="Picture"/>
            <a:graphic>
              <a:graphicData uri="http://schemas.openxmlformats.org/drawingml/2006/picture">
                <pic:pic>
                  <pic:nvPicPr>
                    <pic:cNvPr descr=".mermaid_assets/DIAGRAMS.mmd-0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Legend: all nodes/edges = implemented + verified (forms 1, 2, 3, 4, 5; grammar</w:t>
      </w:r>
      <w:r>
        <w:t xml:space="preserve"> </w:t>
      </w:r>
      <w:r>
        <w:t xml:space="preserve">suite 166/0, paired-mutation meta-test 6/0). 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 registry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default_namespace</w:t>
      </w:r>
      <w:r>
        <w:t xml:space="preserve">/</w:t>
      </w:r>
      <w:r>
        <w:rPr>
          <w:rStyle w:val="VerbatimChar"/>
        </w:rPr>
        <w:t xml:space="preserve">namespace_separator</w:t>
      </w:r>
      <w:r>
        <w:t xml:space="preserve">/</w:t>
      </w:r>
      <w:r>
        <w:rPr>
          <w:rStyle w:val="VerbatimChar"/>
        </w:rPr>
        <w:t xml:space="preserve">slash_prefix</w:t>
      </w:r>
      <w:r>
        <w:t xml:space="preserve">/</w:t>
      </w:r>
      <w:r>
        <w:rPr>
          <w:rStyle w:val="VerbatimChar"/>
        </w:rPr>
        <w:t xml:space="preserve">namespaces</w:t>
      </w:r>
      <w:r>
        <w:t xml:space="preserve">/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) plus the arrow keys (</w:t>
      </w:r>
      <w:r>
        <w:rPr>
          <w:rStyle w:val="VerbatimChar"/>
        </w:rPr>
        <w:t xml:space="preserve">arrow_form_regex</w:t>
      </w:r>
      <w:r>
        <w:t xml:space="preserve">/</w:t>
      </w:r>
      <w:r>
        <w:rPr>
          <w:rStyle w:val="VerbatimChar"/>
        </w:rPr>
        <w:t xml:space="preserve">arrow_body_separator</w:t>
      </w:r>
      <w:r>
        <w:t xml:space="preserve">)</w:t>
      </w:r>
      <w:r>
        <w:t xml:space="preserve"> </w:t>
      </w:r>
      <w:r>
        <w:t xml:space="preserve">are present and</w:t>
      </w:r>
      <w:r>
        <w:t xml:space="preserve"> </w:t>
      </w:r>
      <w:r>
        <w:rPr>
          <w:rStyle w:val="VerbatimChar"/>
        </w:rPr>
        <w:t xml:space="preserve">apx_parse_prefix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matched_form ∈ {colon, slash, arrow}</w:t>
      </w:r>
      <w:r>
        <w:t xml:space="preserve"> </w:t>
      </w:r>
      <w:r>
        <w:t xml:space="preserve">for all five forms. A mid-line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after a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token parses as</w:t>
      </w:r>
      <w:r>
        <w:t xml:space="preserve"> </w:t>
      </w:r>
      <w:r>
        <w:t xml:space="preserve">the colon form (the arrow branch falls through). See MANUAL.md §4.3 / §7.</w:t>
      </w:r>
    </w:p>
    <w:p>
      <w:r>
        <w:pict>
          <v:rect style="width:0;height:1.5pt" o:hralign="center" o:hrstd="t" o:hr="t"/>
        </w:pict>
      </w:r>
    </w:p>
    <w:bookmarkEnd w:id="20"/>
    <w:bookmarkStart w:id="21" w:name="X24a0b432abee5052e4c4c5fcaa177bf74f12c3c"/>
    <w:p>
      <w:pPr>
        <w:pStyle w:val="Heading2"/>
      </w:pPr>
      <w:r>
        <w:t xml:space="preserve">4. Add-a-new-action sequence</w:t>
      </w:r>
    </w:p>
    <w:p>
      <w:pPr>
        <w:pStyle w:val="FirstParagraph"/>
      </w:pPr>
      <w:r>
        <w:t xml:space="preserve">Adding an action is a one-row registry edit plus a generator re-run — no code</w:t>
      </w:r>
      <w:r>
        <w:t xml:space="preserve"> </w:t>
      </w:r>
      <w:r>
        <w:t xml:space="preserve">change in either layer. (DESIGN.md §9 / MANUAL.md §6.)</w:t>
      </w:r>
    </w:p>
    <w:p>
      <w:pPr>
        <w:pStyle w:val="BlockText"/>
      </w:pPr>
      <w:r>
        <w:rPr>
          <w:b/>
          <w:bCs/>
        </w:rPr>
        <w:t xml:space="preserve">NOTE — diagram 4 could not be auto-rendered to an image.</w:t>
      </w:r>
      <w:r>
        <w:t xml:space="preserve"> </w:t>
      </w:r>
      <w:r>
        <w:t xml:space="preserve">The data is shown below as a table for readability. (Source-level mermaid render failed; see the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for the original diagram definition.)</w:t>
      </w:r>
    </w:p>
    <w:p>
      <w:pPr>
        <w:pStyle w:val="SourceCode"/>
      </w:pPr>
      <w:r>
        <w:rPr>
          <w:rStyle w:val="VerbatimChar"/>
        </w:rPr>
        <w:t xml:space="preserve">    actor Dev as Maintainer</w:t>
      </w:r>
      <w:r>
        <w:br/>
      </w:r>
      <w:r>
        <w:rPr>
          <w:rStyle w:val="VerbatimChar"/>
        </w:rPr>
        <w:t xml:space="preserve">    participant Reg as actions/registry.yaml</w:t>
      </w:r>
      <w:r>
        <w:br/>
      </w:r>
      <w:r>
        <w:rPr>
          <w:rStyle w:val="VerbatimChar"/>
        </w:rPr>
        <w:t xml:space="preserve">    participant Gen as generate_agent_prefix_commands.sh</w:t>
      </w:r>
      <w:r>
        <w:br/>
      </w:r>
      <w:r>
        <w:rPr>
          <w:rStyle w:val="VerbatimChar"/>
        </w:rPr>
        <w:t xml:space="preserve">    participant Out as actions/generated/*</w:t>
      </w:r>
      <w:r>
        <w:br/>
      </w:r>
      <w:r>
        <w:rPr>
          <w:rStyle w:val="VerbatimChar"/>
        </w:rPr>
        <w:t xml:space="preserve">    participant Lib as action_prefix_lib.sh</w:t>
      </w:r>
      <w:r>
        <w:br/>
      </w:r>
      <w:r>
        <w:rPr>
          <w:rStyle w:val="VerbatimChar"/>
        </w:rPr>
        <w:t xml:space="preserve">    participant Test as unit test + §1.1 mutation</w:t>
      </w:r>
      <w:r>
        <w:br/>
      </w:r>
      <w:r>
        <w:rPr>
          <w:rStyle w:val="VerbatimChar"/>
        </w:rPr>
        <w:t xml:space="preserve">    participant Doc as docs (§11.4.44 / §11.4.65)</w:t>
      </w:r>
      <w:r>
        <w:br/>
      </w:r>
      <w:r>
        <w:br/>
      </w:r>
      <w:r>
        <w:rPr>
          <w:rStyle w:val="VerbatimChar"/>
        </w:rPr>
        <w:t xml:space="preserve">    Dev-&gt;&gt;Reg: add one actions[] row\n(name, version, summary≥6 words §11.4.91, expansion, rules?, composes_with?)</w:t>
      </w:r>
      <w:r>
        <w:br/>
      </w:r>
      <w:r>
        <w:rPr>
          <w:rStyle w:val="VerbatimChar"/>
        </w:rPr>
        <w:t xml:space="preserve">    Dev-&gt;&gt;Gen: bash scripts/generate_agent_prefix_commands.sh</w:t>
      </w:r>
      <w:r>
        <w:br/>
      </w:r>
      <w:r>
        <w:rPr>
          <w:rStyle w:val="VerbatimChar"/>
        </w:rPr>
        <w:t xml:space="preserve">    Gen-&gt;&gt;Lib: apx_validate_registry + apx_lookup_expansion(NEWACTION)</w:t>
      </w:r>
      <w:r>
        <w:br/>
      </w:r>
      <w:r>
        <w:rPr>
          <w:rStyle w:val="VerbatimChar"/>
        </w:rPr>
        <w:t xml:space="preserve">    Lib--&gt;&gt;Gen: expansion (verbatim)</w:t>
      </w:r>
      <w:r>
        <w:br/>
      </w:r>
      <w:r>
        <w:rPr>
          <w:rStyle w:val="VerbatimChar"/>
        </w:rPr>
        <w:t xml:space="preserve">    Gen-&gt;&gt;Out: write gemini/newaction.toml, qwen/newaction.toml, codex/newaction.md\n(/newaction = form 3)</w:t>
      </w:r>
      <w:r>
        <w:br/>
      </w:r>
      <w:r>
        <w:rPr>
          <w:rStyle w:val="VerbatimChar"/>
        </w:rPr>
        <w:t xml:space="preserve">    Note over Reg,Out: No edit to the hook OR the library — registry is data, not code.\nLAYER 1 already knows to consult the registry.</w:t>
      </w:r>
      <w:r>
        <w:br/>
      </w:r>
      <w:r>
        <w:rPr>
          <w:rStyle w:val="VerbatimChar"/>
        </w:rPr>
        <w:t xml:space="preserve">    Dev-&gt;&gt;Test: add unit test (parses + grammar match + expansion correct)\n+ paired mutation (corrupt expansion → gate FAILs)</w:t>
      </w:r>
      <w:r>
        <w:br/>
      </w:r>
      <w:r>
        <w:rPr>
          <w:rStyle w:val="VerbatimChar"/>
        </w:rPr>
        <w:t xml:space="preserve">    Dev-&gt;&gt;Doc: bump revision header; export .html/.pdf at commit time (conductor)</w:t>
      </w:r>
      <w:r>
        <w:br/>
      </w:r>
      <w:r>
        <w:rPr>
          <w:rStyle w:val="VerbatimChar"/>
        </w:rPr>
        <w:t xml:space="preserve">    Note over Dev: Optional — inline the expansion in the LAYER-1 block\nONLY if it must work without registry-file access (like BACKGROUND).</w:t>
      </w:r>
    </w:p>
    <w:p>
      <w:r>
        <w:pict>
          <v:rect style="width:0;height:1.5pt" o:hralign="center" o:hrstd="t" o:hr="t"/>
        </w:pict>
      </w:r>
    </w:p>
    <w:bookmarkEnd w:id="21"/>
    <w:bookmarkStart w:id="24" w:name="X71471c8cbe74ab4ea8f44ba33b8558d96f18958"/>
    <w:p>
      <w:pPr>
        <w:pStyle w:val="Heading2"/>
      </w:pPr>
      <w:r>
        <w:t xml:space="preserve">5. Related documents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— end-user guide.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MANUAL.md</w:t>
        </w:r>
      </w:hyperlink>
      <w:r>
        <w:t xml:space="preserve"> </w:t>
      </w:r>
      <w:r>
        <w:t xml:space="preserve">— developer/maintainer manual.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docs/research/action_prefix_system/{RESEARCH.md, DESIGN.md, GRAMMAR_ADDENDUM.md, IMPLEMENTATION_REPORT.md, RULE_DRAFT.md}</w:t>
      </w:r>
      <w:r>
        <w:t xml:space="preserve"> </w:t>
      </w:r>
      <w:r>
        <w:t xml:space="preserve">— source design.</w:t>
      </w:r>
    </w:p>
    <w:p>
      <w:pPr>
        <w:pStyle w:val="Compact"/>
        <w:numPr>
          <w:ilvl w:val="0"/>
          <w:numId w:val="1001"/>
        </w:numPr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§11.4.140.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hyperlink" Id="rId23" Target="MANUAL.md" TargetMode="External" /><Relationship Type="http://schemas.openxmlformats.org/officeDocument/2006/relationships/hyperlink" Id="rId22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NUAL.md" TargetMode="External" /><Relationship Type="http://schemas.openxmlformats.org/officeDocument/2006/relationships/hyperlink" Id="rId22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2026-10-11T22:23:32Z</dcterms:created>
  <dcterms:modified xsi:type="dcterms:W3CDTF">2026-10-11T22:23:32Z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