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f55dad55c4cda3c1995268e69b46af325223a8f"/>
    <w:p>
      <w:pPr>
        <w:pStyle w:val="Heading1"/>
      </w:pPr>
      <w:r>
        <w:t xml:space="preserve">§11.4.140 — Draft anchor text + consumer mirror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2026-06-09</w:t>
            </w:r>
          </w:p>
        </w:tc>
      </w:tr>
      <w:tr>
        <w:tc>
          <w:tcPr/>
          <w:p>
            <w:pPr>
              <w:pStyle w:val="Compact"/>
            </w:pPr>
            <w:r>
              <w:t xml:space="preserve">Last modified</w:t>
            </w:r>
          </w:p>
        </w:tc>
        <w:tc>
          <w:tcPr/>
          <w:p>
            <w:pPr>
              <w:pStyle w:val="Compact"/>
            </w:pPr>
            <w:r>
              <w:t xml:space="preserve">2026-06-09T00:00:00Z</w:t>
            </w:r>
          </w:p>
        </w:tc>
      </w:tr>
      <w:tr>
        <w:tc>
          <w:tcPr/>
          <w:p>
            <w:pPr>
              <w:pStyle w:val="Compact"/>
            </w:pPr>
            <w:r>
              <w:t xml:space="preserve">Status</w:t>
            </w:r>
          </w:p>
        </w:tc>
        <w:tc>
          <w:tcPr/>
          <w:p>
            <w:pPr>
              <w:pStyle w:val="Compact"/>
            </w:pPr>
            <w:r>
              <w:t xml:space="preserve">draft (for operator review before landing in Constitution.md)</w:t>
            </w:r>
          </w:p>
        </w:tc>
      </w:tr>
      <w:tr>
        <w:tc>
          <w:tcPr/>
          <w:p>
            <w:pPr>
              <w:pStyle w:val="Compact"/>
            </w:pPr>
            <w:r>
              <w:t xml:space="preserve">Scope</w:t>
            </w:r>
          </w:p>
        </w:tc>
        <w:tc>
          <w:tcPr/>
          <w:p>
            <w:pPr>
              <w:pStyle w:val="Compact"/>
            </w:pPr>
            <w:r>
              <w:t xml:space="preserve">full §11.4.140 anchor + shorter CLAUDE.md/AGENTS.md/QWEN.md/GEMINI.md consumer mirror</w:t>
            </w:r>
          </w:p>
        </w:tc>
      </w:tr>
      <w:tr>
        <w:tc>
          <w:tcPr/>
          <w:p>
            <w:pPr>
              <w:pStyle w:val="Compact"/>
            </w:pPr>
            <w:r>
              <w:t xml:space="preserve">Inputs</w:t>
            </w:r>
          </w:p>
        </w:tc>
        <w:tc>
          <w:tcPr/>
          <w:p>
            <w:pPr>
              <w:pStyle w:val="Compact"/>
            </w:pPr>
            <w:r>
              <w:rPr>
                <w:rStyle w:val="VerbatimChar"/>
              </w:rPr>
              <w:t xml:space="preserve">RESEARCH.md</w:t>
            </w:r>
            <w:r>
              <w:t xml:space="preserve">,</w:t>
            </w:r>
            <w:r>
              <w:t xml:space="preserve"> </w:t>
            </w:r>
            <w:r>
              <w:rPr>
                <w:rStyle w:val="VerbatimChar"/>
              </w:rPr>
              <w:t xml:space="preserve">DESIGN.md</w:t>
            </w:r>
            <w:r>
              <w:t xml:space="preserve"> </w:t>
            </w:r>
            <w:r>
              <w:t xml:space="preserve">(this directory)</w:t>
            </w:r>
          </w:p>
        </w:tc>
      </w:tr>
    </w:tbl>
    <w:p>
      <w:pPr>
        <w:pStyle w:val="BlockText"/>
      </w:pPr>
      <w:r>
        <w:t xml:space="preserve">NOTE: this is DRAFT text written to research/ per the task scope. It is NOT</w:t>
      </w:r>
      <w:r>
        <w:t xml:space="preserve"> </w:t>
      </w:r>
      <w:r>
        <w:t xml:space="preserve">applied to</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in this</w:t>
      </w:r>
      <w:r>
        <w:t xml:space="preserve"> </w:t>
      </w:r>
      <w:r>
        <w:t xml:space="preserve">run (no commit/push/edit of the live governance files). The operator lands it</w:t>
      </w:r>
      <w:r>
        <w:t xml:space="preserve"> </w:t>
      </w:r>
      <w:r>
        <w:t xml:space="preserve">via the §11.4.26 constitution-update pipeline.</w:t>
      </w:r>
    </w:p>
    <w:p>
      <w:r>
        <w:pict>
          <v:rect style="width:0;height:1.5pt" o:hralign="center" o:hrstd="t" o:hr="t"/>
        </w:pict>
      </w:r>
    </w:p>
    <w:bookmarkStart w:id="11" w:name="Xcdfd93874352a91d90f12601e64571c1b497864"/>
    <w:p>
      <w:pPr>
        <w:pStyle w:val="Heading2"/>
      </w:pPr>
      <w:r>
        <w:t xml:space="preserve">A. FULL anchor — to add as a new</w:t>
      </w:r>
      <w:r>
        <w:t xml:space="preserve"> </w:t>
      </w:r>
      <w:r>
        <w:rPr>
          <w:rStyle w:val="VerbatimChar"/>
        </w:rPr>
        <w:t xml:space="preserve">### §11.4.140 …</w:t>
      </w:r>
      <w:r>
        <w:t xml:space="preserve"> </w:t>
      </w:r>
      <w:r>
        <w:t xml:space="preserve">section in</w:t>
      </w:r>
      <w:r>
        <w:t xml:space="preserve"> </w:t>
      </w:r>
      <w:r>
        <w:rPr>
          <w:rStyle w:val="VerbatimChar"/>
        </w:rPr>
        <w:t xml:space="preserve">Constitution.md</w:t>
      </w:r>
    </w:p>
    <w:bookmarkStart w:id="10" w:name="X43d44c9ddceefc5544c9b48e99bc602549ca03e"/>
    <w:p>
      <w:pPr>
        <w:pStyle w:val="Heading3"/>
      </w:pPr>
      <w:r>
        <w:t xml:space="preserve">§11.4.140 — Universal action-prefix system (</w:t>
      </w:r>
      <w:r>
        <w:rPr>
          <w:rStyle w:val="VerbatimChar"/>
        </w:rPr>
        <w:t xml:space="preserve">ACTION_NAME ::</w:t>
      </w:r>
      <w:r>
        <w:t xml:space="preserve">) (User mandate, 2026-06-09)</w:t>
      </w:r>
    </w:p>
    <w:p>
      <w:pPr>
        <w:pStyle w:val="FirstParagraph"/>
      </w:pPr>
      <w:r>
        <w:rPr>
          <w:b/>
          <w:bCs/>
        </w:rPr>
        <w:t xml:space="preserve">Forensic anchor — verbatim user mandate (2026-06-09):</w:t>
      </w:r>
    </w:p>
    <w:p>
      <w:pPr>
        <w:pStyle w:val="BlockText"/>
      </w:pPr>
      <w:r>
        <w:t xml:space="preserve">"When a user prompt STARTS with</w:t>
      </w:r>
      <w:r>
        <w:t xml:space="preserve"> </w:t>
      </w:r>
      <w:r>
        <w:rPr>
          <w:rStyle w:val="VerbatimChar"/>
        </w:rPr>
        <w:t xml:space="preserve">ACTION_NAME ::</w:t>
      </w:r>
      <w:r>
        <w:t xml:space="preserve"> </w:t>
      </w:r>
      <w:r>
        <w:t xml:space="preserve">(e.g.</w:t>
      </w:r>
      <w:r>
        <w:t xml:space="preserve"> </w:t>
      </w:r>
      <w:r>
        <w:rPr>
          <w:rStyle w:val="VerbatimChar"/>
        </w:rPr>
        <w:t xml:space="preserve">BACKGROUND :: IMPORTANT: do X...</w:t>
      </w:r>
      <w:r>
        <w:t xml:space="preserve">) the agent MUST replace the</w:t>
      </w:r>
      <w:r>
        <w:t xml:space="preserve"> </w:t>
      </w:r>
      <w:r>
        <w:rPr>
          <w:rStyle w:val="VerbatimChar"/>
        </w:rPr>
        <w:t xml:space="preserve">ACTION_NAME ::</w:t>
      </w:r>
      <w:r>
        <w:t xml:space="preserve"> </w:t>
      </w:r>
      <w:r>
        <w:t xml:space="preserve">prefix with that action's registered expansion text, then execute the rest. For</w:t>
      </w:r>
      <w:r>
        <w:t xml:space="preserve"> </w:t>
      </w:r>
      <w:r>
        <w:rPr>
          <w:rStyle w:val="VerbatimChar"/>
        </w:rPr>
        <w:t xml:space="preserve">BACKGROUND ::</w:t>
      </w:r>
      <w:r>
        <w:t xml:space="preserve"> </w:t>
      </w:r>
      <w:r>
        <w:t xml:space="preserve">the expansion is: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 The mechanism MUST be UNIVERSAL/extensible — more actions will be added later, each with its own expansion + rules. It MUST work with EVERY CLI agent, be fully decoupled + reusable by every project that includes the constitution submodule, and load + execute out of the box."</w:t>
      </w:r>
    </w:p>
    <w:p>
      <w:pPr>
        <w:pStyle w:val="FirstParagraph"/>
      </w:pPr>
      <w:r>
        <w:t xml:space="preserve">Every project under this Constitution MUST support a universal, extensible</w:t>
      </w:r>
      <w:r>
        <w:t xml:space="preserve"> </w:t>
      </w:r>
      <w:r>
        <w:rPr>
          <w:b/>
          <w:bCs/>
        </w:rPr>
        <w:t xml:space="preserve">action-prefix system</w:t>
      </w:r>
      <w:r>
        <w:t xml:space="preserve">: when a user prompt's FIRST non-blank line starts with</w:t>
      </w:r>
      <w:r>
        <w:t xml:space="preserve"> </w:t>
      </w:r>
      <w:r>
        <w:t xml:space="preserve">an uppercase action token followed by</w:t>
      </w:r>
      <w:r>
        <w:t xml:space="preserve"> </w:t>
      </w:r>
      <w:r>
        <w:rPr>
          <w:rStyle w:val="VerbatimChar"/>
        </w:rPr>
        <w:t xml:space="preserve">" :: "</w:t>
      </w:r>
      <w:r>
        <w:t xml:space="preserve"> </w:t>
      </w:r>
      <w:r>
        <w:t xml:space="preserve">(grammar</w:t>
      </w:r>
      <w:r>
        <w:t xml:space="preserve"> </w:t>
      </w:r>
      <w:r>
        <w:rPr>
          <w:rStyle w:val="VerbatimChar"/>
        </w:rPr>
        <w:t xml:space="preserve">^([A-Z][A-Z0-9_]*) :: </w:t>
      </w:r>
      <w:r>
        <w:t xml:space="preserve"> </w:t>
      </w:r>
      <w:r>
        <w:t xml:space="preserve">— anchored at line start, UPPERCASE-only token,</w:t>
      </w:r>
      <w:r>
        <w:t xml:space="preserve"> </w:t>
      </w:r>
      <w:r>
        <w:t xml:space="preserve">exactly one space on each side of</w:t>
      </w:r>
      <w:r>
        <w:t xml:space="preserve"> </w:t>
      </w:r>
      <w:r>
        <w:rPr>
          <w:rStyle w:val="VerbatimChar"/>
        </w:rPr>
        <w:t xml:space="preserve">::</w:t>
      </w:r>
      <w:r>
        <w:t xml:space="preserve">), the agent MUST (1) look the token up in</w:t>
      </w:r>
      <w:r>
        <w:t xml:space="preserve"> </w:t>
      </w:r>
      <w:r>
        <w:t xml:space="preserve">the shared</w:t>
      </w:r>
      <w:r>
        <w:t xml:space="preserve"> </w:t>
      </w:r>
      <w:r>
        <w:rPr>
          <w:b/>
          <w:bCs/>
        </w:rPr>
        <w:t xml:space="preserve">action registry</w:t>
      </w:r>
      <w:r>
        <w:t xml:space="preserve"> </w:t>
      </w:r>
      <w:r>
        <w:t xml:space="preserve">(tracked data file</w:t>
      </w:r>
      <w:r>
        <w:t xml:space="preserve"> </w:t>
      </w:r>
      <w:r>
        <w:rPr>
          <w:rStyle w:val="VerbatimChar"/>
        </w:rPr>
        <w:t xml:space="preserve">constitution/actions/registry.yaml</w:t>
      </w:r>
      <w:r>
        <w:t xml:space="preserve">, or</w:t>
      </w:r>
      <w:r>
        <w:t xml:space="preserve"> </w:t>
      </w:r>
      <w:r>
        <w:rPr>
          <w:rStyle w:val="VerbatimChar"/>
        </w:rPr>
        <w:t xml:space="preserve">$HELIX_ACTION_REGISTRY</w:t>
      </w:r>
      <w:r>
        <w:t xml:space="preserve">); (2) if the</w:t>
      </w:r>
      <w:r>
        <w:t xml:space="preserve"> </w:t>
      </w:r>
      <w:r>
        <w:t xml:space="preserve">token is a registered action, REPLACE the</w:t>
      </w:r>
      <w:r>
        <w:t xml:space="preserve"> </w:t>
      </w:r>
      <w:r>
        <w:rPr>
          <w:rStyle w:val="VerbatimChar"/>
        </w:rPr>
        <w:t xml:space="preserve">ACTION_NAME :: </w:t>
      </w:r>
      <w:r>
        <w:t xml:space="preserve"> </w:t>
      </w:r>
      <w:r>
        <w:t xml:space="preserve">prefix with that</w:t>
      </w:r>
      <w:r>
        <w:t xml:space="preserve"> </w:t>
      </w:r>
      <w:r>
        <w:t xml:space="preserve">action's registered</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w:t>
      </w:r>
      <w:r>
        <w:t xml:space="preserve"> </w:t>
      </w:r>
      <w:r>
        <w:t xml:space="preserve">REMAINDER of the prompt under the expanded instruction. The system is the</w:t>
      </w:r>
      <w:r>
        <w:t xml:space="preserve"> </w:t>
      </w:r>
      <w:r>
        <w:t xml:space="preserve">C-preprocessor expand-then-rescan model applied to prompts (a line-anchored</w:t>
      </w:r>
      <w:r>
        <w:t xml:space="preserve"> </w:t>
      </w:r>
      <w:r>
        <w:t xml:space="preserve">single-token macro): detect → substitute the registered expansion → execute the</w:t>
      </w:r>
      <w:r>
        <w:t xml:space="preserve"> </w:t>
      </w:r>
      <w:r>
        <w:t xml:space="preserve">residual.</w:t>
      </w:r>
    </w:p>
    <w:p>
      <w:pPr>
        <w:pStyle w:val="BodyText"/>
      </w:pPr>
      <w:r>
        <w:rPr>
          <w:b/>
          <w:bCs/>
        </w:rPr>
        <w:t xml:space="preserve">Two-layer architecture (both mandatory; LAYER 1 is the universal floor).</w:t>
      </w:r>
      <w:r>
        <w:t xml:space="preserve"> </w:t>
      </w:r>
      <w:r>
        <w:t xml:space="preserve">(LAYER 1 — universal, always-on, out-of-the-box) the action-prefix recognition</w:t>
      </w:r>
      <w:r>
        <w:t xml:space="preserve"> </w:t>
      </w:r>
      <w:r>
        <w:t xml:space="preserve">instruction MUST be mirrored into EVERY agent context carrier the constitution</w:t>
      </w:r>
      <w:r>
        <w:t xml:space="preserve"> </w:t>
      </w:r>
      <w:r>
        <w:t xml:space="preserve">maintains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w:t>
      </w:r>
      <w:r>
        <w:t xml:space="preserve">per §11.4.35) so the</w:t>
      </w:r>
      <w:r>
        <w:t xml:space="preserve"> </w:t>
      </w:r>
      <w:r>
        <w:t xml:space="preserve">agent itself recognises and applies the prefix on every CLI agent — Claude Code,</w:t>
      </w:r>
      <w:r>
        <w:t xml:space="preserve"> </w:t>
      </w:r>
      <w:r>
        <w:t xml:space="preserve">Gemini CLI, Qwen Code, OpenAI Codex CLI, GitHub Copilot CLI, Cursor, Aider,</w:t>
      </w:r>
      <w:r>
        <w:t xml:space="preserve"> </w:t>
      </w:r>
      <w:r>
        <w:t xml:space="preserve">Cline, Continue, Roo Code, and any future agent that reads one of those carriers.</w:t>
      </w:r>
      <w:r>
        <w:t xml:space="preserve"> </w:t>
      </w:r>
      <w:r>
        <w:t xml:space="preserve">(LAYER 2 — mechanical, where the agent exposes a pre-submit seam) a</w:t>
      </w:r>
      <w:r>
        <w:t xml:space="preserve"> </w:t>
      </w:r>
      <w:r>
        <w:t xml:space="preserve">prompt-preprocessing hook reading the SAME registry applies the expansion</w:t>
      </w:r>
      <w:r>
        <w:t xml:space="preserve"> </w:t>
      </w:r>
      <w:r>
        <w:t xml:space="preserve">deterministically (Claude Code</w:t>
      </w:r>
      <w:r>
        <w:t xml:space="preserve"> </w:t>
      </w:r>
      <w:r>
        <w:rPr>
          <w:rStyle w:val="VerbatimChar"/>
        </w:rPr>
        <w:t xml:space="preserve">UserPromptSubmit</w:t>
      </w:r>
      <w:r>
        <w:t xml:space="preserve"> </w:t>
      </w:r>
      <w:r>
        <w:t xml:space="preserve">/</w:t>
      </w:r>
      <w:r>
        <w:t xml:space="preserve"> </w:t>
      </w:r>
      <w:r>
        <w:rPr>
          <w:rStyle w:val="VerbatimChar"/>
        </w:rPr>
        <w:t xml:space="preserve">UserPromptExpansion</w:t>
      </w:r>
      <w:r>
        <w:t xml:space="preserve"> </w:t>
      </w:r>
      <w:r>
        <w:t xml:space="preserve">hook</w:t>
      </w:r>
      <w:r>
        <w:t xml:space="preserve"> </w:t>
      </w:r>
      <w:r>
        <w:t xml:space="preserve">injecting the expansion via</w:t>
      </w:r>
      <w:r>
        <w:t xml:space="preserve"> </w:t>
      </w:r>
      <w:r>
        <w:rPr>
          <w:rStyle w:val="VerbatimChar"/>
        </w:rPr>
        <w:t xml:space="preserve">additionalContext</w:t>
      </w:r>
      <w:r>
        <w:t xml:space="preserve">; per-agent slash-command</w:t>
      </w:r>
      <w:r>
        <w:t xml:space="preserve"> </w:t>
      </w:r>
      <w:r>
        <w:t xml:space="preserve">equivalents generated from the registry for Gemini/Qwen/Codex). LAYER 2 is the</w:t>
      </w:r>
      <w:r>
        <w:t xml:space="preserve"> </w:t>
      </w:r>
      <w:r>
        <w:t xml:space="preserve">§11.4.109 anti-forgetting upgrade applied to prompt prefixes — the expansion</w:t>
      </w:r>
      <w:r>
        <w:t xml:space="preserve"> </w:t>
      </w:r>
      <w:r>
        <w:t xml:space="preserve">holds even if model recall lapses; LAYER 1 guarantees the system works</w:t>
      </w:r>
      <w:r>
        <w:t xml:space="preserve"> </w:t>
      </w:r>
      <w:r>
        <w:t xml:space="preserve">everywhere with zero extra setup. Honest §11.4.3 boundary (§11.4.6): transparent</w:t>
      </w:r>
      <w:r>
        <w:t xml:space="preserve"> </w:t>
      </w:r>
      <w:r>
        <w:t xml:space="preserve">mechanical free-form</w:t>
      </w:r>
      <w:r>
        <w:t xml:space="preserve"> </w:t>
      </w:r>
      <w:r>
        <w:rPr>
          <w:rStyle w:val="VerbatimChar"/>
        </w:rPr>
        <w:t xml:space="preserve">^PREFIX ::</w:t>
      </w:r>
      <w:r>
        <w:t xml:space="preserve"> </w:t>
      </w:r>
      <w:r>
        <w:t xml:space="preserve">interception is genuinely available ONLY on</w:t>
      </w:r>
      <w:r>
        <w:t xml:space="preserve"> </w:t>
      </w:r>
      <w:r>
        <w:t xml:space="preserve">Claude Code today; on every other agent the free-form form is honoured by</w:t>
      </w:r>
      <w:r>
        <w:t xml:space="preserve"> </w:t>
      </w:r>
      <w:r>
        <w:t xml:space="preserve">LAYER 1 (the agent self-applies) and the slash-command equivalent is the</w:t>
      </w:r>
      <w:r>
        <w:t xml:space="preserve"> </w:t>
      </w:r>
      <w:r>
        <w:t xml:space="preserve">mechanical convenience — this split is documented, never papered over.</w:t>
      </w:r>
    </w:p>
    <w:p>
      <w:pPr>
        <w:pStyle w:val="BodyText"/>
      </w:pPr>
      <w:r>
        <w:rPr>
          <w:b/>
          <w:bCs/>
        </w:rPr>
        <w:t xml:space="preserve">Grammar (mandatory, all hold).</w:t>
      </w:r>
      <w:r>
        <w:t xml:space="preserve"> </w:t>
      </w:r>
      <w:r>
        <w:t xml:space="preserve">(1) Anchored at the start of the first</w:t>
      </w:r>
      <w:r>
        <w:t xml:space="preserve"> </w:t>
      </w:r>
      <w:r>
        <w:t xml:space="preserve">non-blank line ONLY; mid-prose tokens never match. (2) UPPERCASE-only token</w:t>
      </w:r>
      <w:r>
        <w:t xml:space="preserve"> </w:t>
      </w:r>
      <w:r>
        <w:rPr>
          <w:rStyle w:val="VerbatimChar"/>
        </w:rPr>
        <w:t xml:space="preserve">[A-Z][A-Z0-9_]*</w:t>
      </w:r>
      <w:r>
        <w:t xml:space="preserve">; lowercase never matches. (3) Separator is exactly</w:t>
      </w:r>
      <w:r>
        <w:t xml:space="preserve"> </w:t>
      </w:r>
      <w:r>
        <w:rPr>
          <w:rStyle w:val="VerbatimChar"/>
        </w:rPr>
        <w:t xml:space="preserve">" :: "</w:t>
      </w:r>
      <w:r>
        <w:t xml:space="preserve"> </w:t>
      </w:r>
      <w:r>
        <w:t xml:space="preserve">(space-colon-colon-space) — avoids C++</w:t>
      </w:r>
      <w:r>
        <w:t xml:space="preserve"> </w:t>
      </w:r>
      <w:r>
        <w:rPr>
          <w:rStyle w:val="VerbatimChar"/>
        </w:rPr>
        <w:t xml:space="preserve">Foo::Bar</w:t>
      </w:r>
      <w:r>
        <w:t xml:space="preserve">, YAML</w:t>
      </w:r>
      <w:r>
        <w:t xml:space="preserve"> </w:t>
      </w:r>
      <w:r>
        <w:rPr>
          <w:rStyle w:val="VerbatimChar"/>
        </w:rPr>
        <w:t xml:space="preserve">key: value</w:t>
      </w:r>
      <w:r>
        <w:t xml:space="preserve">, URLs.</w:t>
      </w:r>
      <w:r>
        <w:t xml:space="preserve"> </w:t>
      </w:r>
      <w:r>
        <w:t xml:space="preserve">(4) Stacked prefixes (</w:t>
      </w:r>
      <w:r>
        <w:rPr>
          <w:rStyle w:val="VerbatimChar"/>
        </w:rPr>
        <w:t xml:space="preserve">A :: B :: rest</w:t>
      </w:r>
      <w:r>
        <w:t xml:space="preserve">) apply outer-to-inner, left-to-right</w:t>
      </w:r>
      <w:r>
        <w:t xml:space="preserve"> </w:t>
      </w:r>
      <w:r>
        <w:t xml:space="preserve">(expand A, rescan, expand B, then the residual is the task). (5) A leading</w:t>
      </w:r>
      <w:r>
        <w:t xml:space="preserve"> </w:t>
      </w:r>
      <w:r>
        <w:rPr>
          <w:rStyle w:val="VerbatimChar"/>
        </w:rPr>
        <w:t xml:space="preserve">\</w:t>
      </w:r>
      <w:r>
        <w:t xml:space="preserve"> </w:t>
      </w:r>
      <w:r>
        <w:t xml:space="preserve">escapes the prefix (literal, no expansion) so action names can be discussed.</w:t>
      </w:r>
      <w:r>
        <w:t xml:space="preserve"> </w:t>
      </w:r>
      <w:r>
        <w:t xml:space="preserve">(6) An unknown token that matches the grammar shape but is NOT registered is</w:t>
      </w:r>
      <w:r>
        <w:t xml:space="preserve"> </w:t>
      </w:r>
      <w:r>
        <w:t xml:space="preserve">NEVER silently expanded or silently dropped — the agent asks which registered</w:t>
      </w:r>
      <w:r>
        <w:t xml:space="preserve"> </w:t>
      </w:r>
      <w:r>
        <w:t xml:space="preserve">action was meant (§11.4.66 + §11.4.105) or treats it literally; it NEVER invents</w:t>
      </w:r>
      <w:r>
        <w:t xml:space="preserve"> </w:t>
      </w:r>
      <w:r>
        <w:t xml:space="preserve">an expansion (§11.4.6). (7) Any prompt not satisfying the grammar is an ordinary</w:t>
      </w:r>
      <w:r>
        <w:t xml:space="preserve"> </w:t>
      </w:r>
      <w:r>
        <w:t xml:space="preserve">prompt; the system is a no-op.</w:t>
      </w:r>
    </w:p>
    <w:p>
      <w:pPr>
        <w:pStyle w:val="BodyText"/>
      </w:pPr>
      <w:r>
        <w:rPr>
          <w:b/>
          <w:bCs/>
        </w:rPr>
        <w:t xml:space="preserve">Registry is the single source of truth + the extension contract.</w:t>
      </w:r>
      <w:r>
        <w:t xml:space="preserve"> </w:t>
      </w:r>
      <w:r>
        <w:t xml:space="preserve">Adding a</w:t>
      </w:r>
      <w:r>
        <w:t xml:space="preserve"> </w:t>
      </w:r>
      <w:r>
        <w:t xml:space="preserve">new action = adding ONE</w:t>
      </w:r>
      <w:r>
        <w:t xml:space="preserve"> </w:t>
      </w:r>
      <w:r>
        <w:rPr>
          <w:rStyle w:val="VerbatimChar"/>
        </w:rPr>
        <w:t xml:space="preserve">actions[]</w:t>
      </w:r>
      <w:r>
        <w:t xml:space="preserve"> </w:t>
      </w:r>
      <w:r>
        <w:t xml:space="preserve">row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summary</w:t>
      </w:r>
      <w:r>
        <w:t xml:space="preserve"> </w:t>
      </w:r>
      <w:r>
        <w:t xml:space="preserve">≥6 words</w:t>
      </w:r>
      <w:r>
        <w:t xml:space="preserve"> </w:t>
      </w:r>
      <w:r>
        <w:t xml:space="preserve">per §11.4.91,</w:t>
      </w:r>
      <w:r>
        <w:t xml:space="preserve"> </w:t>
      </w:r>
      <w:r>
        <w:rPr>
          <w:rStyle w:val="VerbatimChar"/>
        </w:rPr>
        <w:t xml:space="preserve">expansion</w:t>
      </w:r>
      <w:r>
        <w:t xml:space="preserve">, optional</w:t>
      </w:r>
      <w:r>
        <w:t xml:space="preserve"> </w:t>
      </w:r>
      <w:r>
        <w:rPr>
          <w:rStyle w:val="VerbatimChar"/>
        </w:rPr>
        <w:t xml:space="preserve">rules</w:t>
      </w:r>
      <w:r>
        <w:t xml:space="preserve"> </w:t>
      </w:r>
      <w:r>
        <w:t xml:space="preserve">+</w:t>
      </w:r>
      <w:r>
        <w:t xml:space="preserve"> </w:t>
      </w:r>
      <w:r>
        <w:rPr>
          <w:rStyle w:val="VerbatimChar"/>
        </w:rPr>
        <w:t xml:space="preserve">composes_with</w:t>
      </w:r>
      <w:r>
        <w:t xml:space="preserve">) — no code change</w:t>
      </w:r>
      <w:r>
        <w:t xml:space="preserve"> </w:t>
      </w:r>
      <w:r>
        <w:t xml:space="preserve">in either layer (the registry is data, not code). Both layers read the same</w:t>
      </w:r>
      <w:r>
        <w:t xml:space="preserve"> </w:t>
      </w:r>
      <w:r>
        <w:t xml:space="preserve">file (§11.4.93-style single-source-of-truth). The first registry entry is</w:t>
      </w:r>
      <w:r>
        <w:t xml:space="preserve"> </w:t>
      </w:r>
      <w:r>
        <w:rPr>
          <w:rStyle w:val="VerbatimChar"/>
        </w:rPr>
        <w:t xml:space="preserve">BACKGROUND</w:t>
      </w:r>
      <w:r>
        <w:t xml:space="preserve"> </w:t>
      </w:r>
      <w:r>
        <w:t xml:space="preserve">with the operator's verbatim expansion above; it composes</w:t>
      </w:r>
      <w:r>
        <w:t xml:space="preserve"> </w:t>
      </w:r>
      <w:r>
        <w:t xml:space="preserve">§11.4.20/§11.4.70 (subagent-driven), §11.4.58/§11.4.103 (parallel streams),</w:t>
      </w:r>
      <w:r>
        <w:t xml:space="preserve"> </w:t>
      </w:r>
      <w:r>
        <w:t xml:space="preserve">§11.4.89 (background execution), and §11.4.5/§11.4.69/§11.4.107 (captured</w:t>
      </w:r>
      <w:r>
        <w:t xml:space="preserve"> </w:t>
      </w:r>
      <w:r>
        <w:t xml:space="preserve">physical evidence) + §11.4 (anti-bluff). Decoupled + reusable (§11.4.28): the</w:t>
      </w:r>
      <w:r>
        <w:t xml:space="preserve"> </w:t>
      </w:r>
      <w:r>
        <w:t xml:space="preserve">registry + hook + expander carry zero project-specific data and are consumed by</w:t>
      </w:r>
      <w:r>
        <w:t xml:space="preserve"> </w:t>
      </w:r>
      <w:r>
        <w:t xml:space="preserve">reference (the §11.4.80</w:t>
      </w:r>
      <w:r>
        <w:t xml:space="preserve"> </w:t>
      </w:r>
      <w:r>
        <w:rPr>
          <w:rStyle w:val="VerbatimChar"/>
        </w:rPr>
        <w:t xml:space="preserve">codegraph_*</w:t>
      </w:r>
      <w:r>
        <w:t xml:space="preserve"> </w:t>
      </w:r>
      <w:r>
        <w:t xml:space="preserve">pattern); a consuming project ships its own</w:t>
      </w:r>
      <w:r>
        <w:t xml:space="preserve"> </w:t>
      </w:r>
      <w:r>
        <w:t xml:space="preserve">registry or inherits the constitution default. Loads out-of-the-box via the</w:t>
      </w:r>
      <w:r>
        <w:t xml:space="preserve"> </w:t>
      </w:r>
      <w:r>
        <w:t xml:space="preserve">§11.4.75 install seam.</w:t>
      </w:r>
    </w:p>
    <w:p>
      <w:pPr>
        <w:pStyle w:val="BodyText"/>
      </w:pPr>
      <w:r>
        <w:t xml:space="preserve">Classification: universal (§11.4.17). Composes §11.4 / §11.4.5 / §11.4.6 /</w:t>
      </w:r>
      <w:r>
        <w:t xml:space="preserve"> </w:t>
      </w:r>
      <w:r>
        <w:t xml:space="preserve">§11.4.17 / §11.4.20 / §11.4.28 / §11.4.35 / §11.4.58 / §11.4.66 / §11.4.69 /</w:t>
      </w:r>
      <w:r>
        <w:t xml:space="preserve"> </w:t>
      </w:r>
      <w:r>
        <w:t xml:space="preserve">§11.4.70 / §11.4.75 / §11.4.80 / §11.4.89 / §11.4.91 / §11.4.93 / §11.4.103 /</w:t>
      </w:r>
      <w:r>
        <w:t xml:space="preserve"> </w:t>
      </w:r>
      <w:r>
        <w:t xml:space="preserve">§11.4.105 / §11.4.107 / §11.4.109. Propagation gate</w:t>
      </w:r>
      <w:r>
        <w:t xml:space="preserve"> </w:t>
      </w:r>
      <w:r>
        <w:rPr>
          <w:rStyle w:val="VerbatimChar"/>
        </w:rPr>
        <w:t xml:space="preserve">CM-COVENANT-114-140-PROPAGATION</w:t>
      </w:r>
      <w:r>
        <w:t xml:space="preserve"> </w:t>
      </w:r>
      <w:r>
        <w:t xml:space="preserve">(literal</w:t>
      </w:r>
      <w:r>
        <w:t xml:space="preserve"> </w:t>
      </w:r>
      <w:r>
        <w:rPr>
          <w:rStyle w:val="VerbatimChar"/>
        </w:rPr>
        <w:t xml:space="preserve">11.4.140</w:t>
      </w:r>
      <w:r>
        <w:t xml:space="preserve"> </w:t>
      </w:r>
      <w:r>
        <w:t xml:space="preserve">across the consumer fleet)</w:t>
      </w:r>
    </w:p>
    <w:p>
      <w:pPr>
        <w:pStyle w:val="Compact"/>
        <w:numPr>
          <w:ilvl w:val="0"/>
          <w:numId w:val="1001"/>
        </w:numPr>
      </w:pPr>
      <w:r>
        <w:t xml:space="preserve">recommended gate</w:t>
      </w:r>
      <w:r>
        <w:t xml:space="preserve"> </w:t>
      </w:r>
      <w:r>
        <w:rPr>
          <w:rStyle w:val="VerbatimChar"/>
        </w:rPr>
        <w:t xml:space="preserve">CM-ACTION-PREFIX-SYSTEM</w:t>
      </w:r>
      <w:r>
        <w:t xml:space="preserve"> </w:t>
      </w:r>
      <w:r>
        <w:t xml:space="preserve">(registry exists + parses + the</w:t>
      </w:r>
      <w:r>
        <w:t xml:space="preserve"> </w:t>
      </w:r>
      <w:r>
        <w:t xml:space="preserve">grammar regex matches/no-matches the canonical fixtures + the LAYER-1 mirror</w:t>
      </w:r>
      <w:r>
        <w:t xml:space="preserve"> </w:t>
      </w:r>
      <w:r>
        <w:t xml:space="preserve">block is present in CLAUDE.md/AGENTS.md/QWEN.md/GEMINI.md + the BACKGROUND</w:t>
      </w:r>
      <w:r>
        <w:t xml:space="preserve"> </w:t>
      </w:r>
      <w:r>
        <w:t xml:space="preserve">expansion text matches the registry verbatim + the Claude</w:t>
      </w:r>
      <w:r>
        <w:t xml:space="preserve"> </w:t>
      </w:r>
      <w:r>
        <w:rPr>
          <w:rStyle w:val="VerbatimChar"/>
        </w:rPr>
        <w:t xml:space="preserve">UserPromptSubmit</w:t>
      </w:r>
      <w:r>
        <w:t xml:space="preserve"> </w:t>
      </w:r>
      <w:r>
        <w:t xml:space="preserve">hook + expander script exist and are executable) + paired §1.1 meta-test</w:t>
      </w:r>
      <w:r>
        <w:t xml:space="preserve"> </w:t>
      </w:r>
      <w:r>
        <w:t xml:space="preserve">mutation (corrupt the BACKGROUND expansion in the registry OR strip the</w:t>
      </w:r>
      <w:r>
        <w:t xml:space="preserve"> </w:t>
      </w:r>
      <w:r>
        <w:rPr>
          <w:rStyle w:val="VerbatimChar"/>
        </w:rPr>
        <w:t xml:space="preserve">prefix_regex</w:t>
      </w:r>
      <w:r>
        <w:t xml:space="preserve"> </w:t>
      </w:r>
      <w:r>
        <w:t xml:space="preserve">OR remove the LAYER-1 mirror block from one carrier → the gate</w:t>
      </w:r>
      <w:r>
        <w:t xml:space="preserve"> </w:t>
      </w:r>
      <w:r>
        <w:t xml:space="preserve">FAILs; strip the literal</w:t>
      </w:r>
      <w:r>
        <w:t xml:space="preserve"> </w:t>
      </w:r>
      <w:r>
        <w:rPr>
          <w:rStyle w:val="VerbatimChar"/>
        </w:rPr>
        <w:t xml:space="preserve">11.4.140</w:t>
      </w:r>
      <w:r>
        <w:t xml:space="preserve"> </w:t>
      </w:r>
      <w:r>
        <w:t xml:space="preserve">→ the propagation gate FAILs; gate-code =</w:t>
      </w:r>
      <w:r>
        <w:t xml:space="preserve"> </w:t>
      </w:r>
      <w:r>
        <w:t xml:space="preserve">separate work item).</w:t>
      </w:r>
    </w:p>
    <w:p>
      <w:pPr>
        <w:pStyle w:val="FirstParagraph"/>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r>
        <w:pict>
          <v:rect style="width:0;height:1.5pt" o:hralign="center" o:hrstd="t" o:hr="t"/>
        </w:pict>
      </w:r>
    </w:p>
    <w:bookmarkEnd w:id="10"/>
    <w:bookmarkEnd w:id="11"/>
    <w:bookmarkStart w:id="13" w:name="Xf7d0d43e5dd30f024bd31b7260111a7adfd6950"/>
    <w:p>
      <w:pPr>
        <w:pStyle w:val="Heading2"/>
      </w:pPr>
      <w:r>
        <w:t xml:space="preserve">B. SHORTER consumer mirror — to add to</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w:t>
      </w:r>
      <w:r>
        <w:t xml:space="preserve"> </w:t>
      </w:r>
      <w:r>
        <w:rPr>
          <w:rStyle w:val="VerbatimChar"/>
        </w:rPr>
        <w:t xml:space="preserve">GEMINI.md</w:t>
      </w:r>
    </w:p>
    <w:p>
      <w:pPr>
        <w:pStyle w:val="FirstParagraph"/>
      </w:pPr>
      <w:r>
        <w:t xml:space="preserve">(One block, identical text in all four carriers — that identity IS the LAYER-1</w:t>
      </w:r>
      <w:r>
        <w:t xml:space="preserve"> </w:t>
      </w:r>
      <w:r>
        <w:t xml:space="preserve">universality. Verbatim BACKGROUND expansion is inlined so the most-used action</w:t>
      </w:r>
      <w:r>
        <w:t xml:space="preserve"> </w:t>
      </w:r>
      <w:r>
        <w:t xml:space="preserve">works out-of-the-box even without registry-file access.)</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w:t>
      </w:r>
      <w:r>
        <w:t xml:space="preserve"> </w:t>
      </w:r>
      <w:r>
        <w:t xml:space="preserve">When a user prompt's FIRST non-blank line starts with an</w:t>
      </w:r>
      <w:r>
        <w:t xml:space="preserve"> </w:t>
      </w:r>
      <w:r>
        <w:t xml:space="preserve">uppercase action token followed by</w:t>
      </w:r>
      <w:r>
        <w:t xml:space="preserve"> </w:t>
      </w:r>
      <w:r>
        <w:rPr>
          <w:rStyle w:val="VerbatimChar"/>
        </w:rPr>
        <w:t xml:space="preserve">" :: "</w:t>
      </w:r>
      <w:r>
        <w:t xml:space="preserve"> </w:t>
      </w:r>
      <w:r>
        <w:t xml:space="preserve">(grammar</w:t>
      </w:r>
      <w:r>
        <w:t xml:space="preserve"> </w:t>
      </w:r>
      <w:r>
        <w:rPr>
          <w:rStyle w:val="VerbatimChar"/>
        </w:rPr>
        <w:t xml:space="preserve">^([A-Z][A-Z0-9_]*) :: </w:t>
      </w:r>
      <w:r>
        <w:t xml:space="preserve">), you MUST: (1) look the token up in the action</w:t>
      </w:r>
      <w:r>
        <w:t xml:space="preserve"> </w:t>
      </w:r>
      <w:r>
        <w:t xml:space="preserve">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w:t>
      </w:r>
      <w:r>
        <w:t xml:space="preserve"> </w:t>
      </w:r>
      <w:r>
        <w:rPr>
          <w:rStyle w:val="VerbatimChar"/>
        </w:rPr>
        <w:t xml:space="preserve">ACTION_NAME :: </w:t>
      </w:r>
      <w:r>
        <w:t xml:space="preserve"> </w:t>
      </w:r>
      <w:r>
        <w:t xml:space="preserve">prefix with</w:t>
      </w:r>
      <w:r>
        <w:t xml:space="preserve"> </w:t>
      </w:r>
      <w:r>
        <w:t xml:space="preserve">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w:t>
      </w:r>
      <w:r>
        <w:t xml:space="preserve"> </w:t>
      </w:r>
      <w:r>
        <w:t xml:space="preserve">remainder of the prompt under the expanded instruction. Grammar: anchored at</w:t>
      </w:r>
      <w:r>
        <w:t xml:space="preserve"> </w:t>
      </w:r>
      <w:r>
        <w:t xml:space="preserve">the first non-blank line only; UPPERCASE-only token; separator exactly</w:t>
      </w:r>
      <w:r>
        <w:t xml:space="preserve"> </w:t>
      </w:r>
      <w:r>
        <w:rPr>
          <w:rStyle w:val="VerbatimChar"/>
        </w:rPr>
        <w:t xml:space="preserve">" :: "</w:t>
      </w:r>
      <w:r>
        <w:t xml:space="preserve">; stacked prefixes (</w:t>
      </w:r>
      <w:r>
        <w:rPr>
          <w:rStyle w:val="VerbatimChar"/>
        </w:rPr>
        <w:t xml:space="preserve">A :: B :: rest</w:t>
      </w:r>
      <w:r>
        <w:t xml:space="preserve">) apply outer-to-inner; a leading</w:t>
      </w:r>
      <w:r>
        <w:t xml:space="preserve"> </w:t>
      </w:r>
      <w:r>
        <w:rPr>
          <w:rStyle w:val="VerbatimChar"/>
        </w:rPr>
        <w:t xml:space="preserve">\</w:t>
      </w:r>
      <w:r>
        <w:t xml:space="preserve"> </w:t>
      </w:r>
      <w:r>
        <w:t xml:space="preserve">escapes the prefix (literal, no expansion); an unknown grammar-shaped</w:t>
      </w:r>
      <w:r>
        <w:t xml:space="preserve"> </w:t>
      </w:r>
      <w:r>
        <w:t xml:space="preserve">token is NEVER silently expanded or dropped — ask which registered action was</w:t>
      </w:r>
      <w:r>
        <w:t xml:space="preserve"> </w:t>
      </w:r>
      <w:r>
        <w:t xml:space="preserve">meant (§11.4.66 / §11.4.105) or treat it literally, NEVER invent an expansion</w:t>
      </w:r>
      <w:r>
        <w:t xml:space="preserve"> </w:t>
      </w:r>
      <w:r>
        <w:t xml:space="preserve">(§11.4.6). The registered action</w:t>
      </w:r>
      <w:r>
        <w:t xml:space="preserve"> </w:t>
      </w:r>
      <w:r>
        <w:rPr>
          <w:rStyle w:val="VerbatimChar"/>
          <w:b/>
          <w:bCs/>
        </w:rPr>
        <w:t xml:space="preserve">BACKGROUND</w:t>
      </w:r>
      <w:r>
        <w:t xml:space="preserve"> </w:t>
      </w:r>
      <w:r>
        <w:t xml:space="preserve">expands to:</w:t>
      </w:r>
      <w:r>
        <w:t xml:space="preserve"> </w:t>
      </w:r>
      <w:r>
        <w:rPr>
          <w:i/>
          <w:iCs/>
        </w:rPr>
        <w:t xml:space="preserve">"The following</w:t>
      </w:r>
      <w:r>
        <w:rPr>
          <w:i/>
          <w:iCs/>
        </w:rPr>
        <w:t xml:space="preserve"> </w:t>
      </w:r>
      <w:r>
        <w:rPr>
          <w:i/>
          <w:iCs/>
        </w:rPr>
        <w:t xml:space="preserve">prompt that we will provide MUST BE executed in background in parallel with</w:t>
      </w:r>
      <w:r>
        <w:rPr>
          <w:i/>
          <w:iCs/>
        </w:rPr>
        <w:t xml:space="preserve"> </w:t>
      </w:r>
      <w:r>
        <w:rPr>
          <w:i/>
          <w:iCs/>
        </w:rPr>
        <w:t xml:space="preserve">all main work streams using the subagents-driven development approach! All</w:t>
      </w:r>
      <w:r>
        <w:rPr>
          <w:i/>
          <w:iCs/>
        </w:rPr>
        <w:t xml:space="preserve"> </w:t>
      </w:r>
      <w:r>
        <w:rPr>
          <w:i/>
          <w:iCs/>
        </w:rPr>
        <w:t xml:space="preserve">work done MUST PRODUCE rock solid evidence covered with hard physical proof(s)</w:t>
      </w:r>
      <w:r>
        <w:rPr>
          <w:i/>
          <w:iCs/>
        </w:rPr>
        <w:t xml:space="preserve"> </w:t>
      </w:r>
      <w:r>
        <w:rPr>
          <w:i/>
          <w:iCs/>
        </w:rPr>
        <w:t xml:space="preserve">that all done is working as expected and as specified without any false</w:t>
      </w:r>
      <w:r>
        <w:rPr>
          <w:i/>
          <w:iCs/>
        </w:rPr>
        <w:t xml:space="preserve"> </w:t>
      </w:r>
      <w:r>
        <w:rPr>
          <w:i/>
          <w:iCs/>
        </w:rPr>
        <w:t xml:space="preserve">results and without any bluff!"</w:t>
      </w:r>
      <w:r>
        <w:t xml:space="preserve"> </w:t>
      </w:r>
      <w:r>
        <w:t xml:space="preserve">(composes §11.4.20 / §11.4.70 subagent-driven,</w:t>
      </w:r>
      <w:r>
        <w:t xml:space="preserve"> </w:t>
      </w:r>
      <w:r>
        <w:t xml:space="preserve">§11.4.58 / §11.4.103 parallel streams, §11.4.89 background execution,</w:t>
      </w:r>
      <w:r>
        <w:t xml:space="preserve"> </w:t>
      </w:r>
      <w:r>
        <w:t xml:space="preserve">§11.4.5 / §11.4.69 / §11.4.107 captured physical evidence, §11.4 anti-bluff).</w:t>
      </w:r>
      <w:r>
        <w:t xml:space="preserve"> </w:t>
      </w:r>
      <w:r>
        <w:t xml:space="preserve">The system is UNIVERSAL (every CLI agent reads this block via its context</w:t>
      </w:r>
      <w:r>
        <w:t xml:space="preserve"> </w:t>
      </w:r>
      <w:r>
        <w:t xml:space="preserve">carrier per §11.4.35), extensible (new action = new registry row), decoupled</w:t>
      </w:r>
    </w:p>
    <w:p>
      <w:pPr>
        <w:pStyle w:val="Compact"/>
        <w:numPr>
          <w:ilvl w:val="0"/>
          <w:numId w:val="1002"/>
        </w:numPr>
      </w:pPr>
      <w:r>
        <w:t xml:space="preserve">reusable (§11.4.28), and loads out-of-the-box. Classification: universal</w:t>
      </w:r>
      <w:r>
        <w:t xml:space="preserve"> </w:t>
      </w:r>
      <w:r>
        <w:t xml:space="preserve">(§11.4.17).</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§11.4.140. Non-compliance is</w:t>
      </w:r>
      <w:r>
        <w:t xml:space="preserve"> </w:t>
      </w:r>
      <w:r>
        <w:t xml:space="preserve">a release 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r>
        <w:pict>
          <v:rect style="width:0;height:1.5pt" o:hralign="center" o:hrstd="t" o:hr="t"/>
        </w:pict>
      </w:r>
    </w:p>
    <w:bookmarkEnd w:id="13"/>
    <w:bookmarkStart w:id="14" w:name="X141899b6b44aa4e452d3f3ebe0a42b8e1a68903"/>
    <w:p>
      <w:pPr>
        <w:pStyle w:val="Heading2"/>
      </w:pPr>
      <w:r>
        <w:t xml:space="preserve">C. Landing checklist (for the operator, via §11.4.26 pipeline)</w:t>
      </w:r>
    </w:p>
    <w:p>
      <w:pPr>
        <w:pStyle w:val="Compact"/>
        <w:numPr>
          <w:ilvl w:val="0"/>
          <w:numId w:val="1003"/>
        </w:numPr>
      </w:pPr>
      <w:r>
        <w:rPr>
          <w:rStyle w:val="VerbatimChar"/>
        </w:rPr>
        <w:t xml:space="preserve">git fetch</w:t>
      </w:r>
      <w:r>
        <w:t xml:space="preserve"> </w:t>
      </w:r>
      <w:r>
        <w:t xml:space="preserve">+</w:t>
      </w:r>
      <w:r>
        <w:t xml:space="preserve"> </w:t>
      </w:r>
      <w:r>
        <w:rPr>
          <w:rStyle w:val="VerbatimChar"/>
        </w:rPr>
        <w:t xml:space="preserve">git pull --ff-only</w:t>
      </w:r>
      <w:r>
        <w:t xml:space="preserve"> </w:t>
      </w:r>
      <w:r>
        <w:t xml:space="preserve">in the constitution submodule (§11.4.26 step 1 / §11.4.37).</w:t>
      </w:r>
    </w:p>
    <w:p>
      <w:pPr>
        <w:pStyle w:val="Compact"/>
        <w:numPr>
          <w:ilvl w:val="0"/>
          <w:numId w:val="1003"/>
        </w:numPr>
      </w:pPr>
      <w:r>
        <w:t xml:space="preserve">Add §11.4.140 (Part A) to</w:t>
      </w:r>
      <w:r>
        <w:t xml:space="preserve"> </w:t>
      </w:r>
      <w:r>
        <w:rPr>
          <w:rStyle w:val="VerbatimChar"/>
        </w:rPr>
        <w:t xml:space="preserve">Constitution.md</w:t>
      </w:r>
      <w:r>
        <w:t xml:space="preserve">; add the mirror (Part B) to</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and a new</w:t>
      </w:r>
      <w:r>
        <w:t xml:space="preserve"> </w:t>
      </w:r>
      <w:r>
        <w:rPr>
          <w:rStyle w:val="VerbatimChar"/>
        </w:rPr>
        <w:t xml:space="preserve">GEMINI.md</w:t>
      </w:r>
      <w:r>
        <w:t xml:space="preserve"> </w:t>
      </w:r>
      <w:r>
        <w:t xml:space="preserve">(the GEMINI.md</w:t>
      </w:r>
      <w:r>
        <w:t xml:space="preserve"> </w:t>
      </w:r>
      <w:r>
        <w:t xml:space="preserve">carrier is added by this anchor so Gemini CLI gets the LAYER-1 floor).</w:t>
      </w:r>
    </w:p>
    <w:p>
      <w:pPr>
        <w:pStyle w:val="Compact"/>
        <w:numPr>
          <w:ilvl w:val="0"/>
          <w:numId w:val="1003"/>
        </w:numPr>
      </w:pPr>
      <w:r>
        <w:t xml:space="preserve">Land</w:t>
      </w:r>
      <w:r>
        <w:t xml:space="preserve"> </w:t>
      </w:r>
      <w:r>
        <w:rPr>
          <w:rStyle w:val="VerbatimChar"/>
        </w:rPr>
        <w:t xml:space="preserve">actions/registry.yaml</w:t>
      </w:r>
      <w:r>
        <w:t xml:space="preserve"> </w:t>
      </w:r>
      <w:r>
        <w:t xml:space="preserve">+</w:t>
      </w:r>
      <w:r>
        <w:t xml:space="preserve"> </w:t>
      </w:r>
      <w:r>
        <w:rPr>
          <w:rStyle w:val="VerbatimChar"/>
        </w:rPr>
        <w:t xml:space="preserve">actions/SCHEMA.md</w:t>
      </w:r>
      <w:r>
        <w:t xml:space="preserve"> </w:t>
      </w:r>
      <w:r>
        <w:t xml:space="preserve">+</w:t>
      </w:r>
      <w:r>
        <w:t xml:space="preserve"> </w:t>
      </w:r>
      <w:r>
        <w:rPr>
          <w:rStyle w:val="VerbatimChar"/>
        </w:rPr>
        <w:t xml:space="preserve">scripts/hooks/action-prefix-expand.sh</w:t>
      </w:r>
      <w:r>
        <w:t xml:space="preserve"> </w:t>
      </w:r>
      <w:r>
        <w:t xml:space="preserve">+</w:t>
      </w:r>
      <w:r>
        <w:t xml:space="preserve"> </w:t>
      </w:r>
      <w:r>
        <w:rPr>
          <w:rStyle w:val="VerbatimChar"/>
        </w:rPr>
        <w:t xml:space="preserve">scripts/actions/expand_prefix.sh</w:t>
      </w:r>
    </w:p>
    <w:p>
      <w:pPr>
        <w:pStyle w:val="Compact"/>
        <w:numPr>
          <w:ilvl w:val="1"/>
          <w:numId w:val="1004"/>
        </w:numPr>
      </w:pPr>
      <w:r>
        <w:rPr>
          <w:rStyle w:val="VerbatimChar"/>
        </w:rPr>
        <w:t xml:space="preserve">scripts/actions/gen_agent_commands.sh</w:t>
      </w:r>
      <w:r>
        <w:t xml:space="preserve"> </w:t>
      </w:r>
      <w:r>
        <w:t xml:space="preserve">per DESIGN.md §2.</w:t>
      </w:r>
    </w:p>
    <w:p>
      <w:pPr>
        <w:pStyle w:val="Compact"/>
        <w:numPr>
          <w:ilvl w:val="0"/>
          <w:numId w:val="1003"/>
        </w:numPr>
      </w:pPr>
      <w:r>
        <w:t xml:space="preserve">Wire</w:t>
      </w:r>
      <w:r>
        <w:t xml:space="preserve"> </w:t>
      </w:r>
      <w:r>
        <w:rPr>
          <w:rStyle w:val="VerbatimChar"/>
        </w:rPr>
        <w:t xml:space="preserve">CM-COVENANT-114-140-PROPAGATION</w:t>
      </w:r>
      <w:r>
        <w:t xml:space="preserve"> </w:t>
      </w:r>
      <w:r>
        <w:t xml:space="preserve">+</w:t>
      </w:r>
      <w:r>
        <w:t xml:space="preserve"> </w:t>
      </w:r>
      <w:r>
        <w:rPr>
          <w:rStyle w:val="VerbatimChar"/>
        </w:rPr>
        <w:t xml:space="preserve">CM-ACTION-PREFIX-SYSTEM</w:t>
      </w:r>
      <w:r>
        <w:t xml:space="preserve"> </w:t>
      </w:r>
      <w:r>
        <w:t xml:space="preserve">gates +</w:t>
      </w:r>
      <w:r>
        <w:t xml:space="preserve"> </w:t>
      </w:r>
      <w:r>
        <w:t xml:space="preserve">the §1.1 paired mutations (TEST_PLAN.md).</w:t>
      </w:r>
    </w:p>
    <w:p>
      <w:pPr>
        <w:pStyle w:val="Compact"/>
        <w:numPr>
          <w:ilvl w:val="0"/>
          <w:numId w:val="1003"/>
        </w:numPr>
      </w:pPr>
      <w:r>
        <w:t xml:space="preserve">Re-export</w:t>
      </w:r>
      <w:r>
        <w:t xml:space="preserve"> </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siblings per §11.4.65; bump revision header</w:t>
      </w:r>
      <w:r>
        <w:t xml:space="preserve"> </w:t>
      </w:r>
      <w:r>
        <w:t xml:space="preserve">per §11.4.44; sync the consumer fleet per §11.4.35.</w:t>
      </w:r>
    </w:p>
    <w:p>
      <w:pPr>
        <w:pStyle w:val="Compact"/>
        <w:numPr>
          <w:ilvl w:val="0"/>
          <w:numId w:val="1003"/>
        </w:numPr>
      </w:pPr>
      <w:r>
        <w:t xml:space="preserve">Commit + push to ALL upstreams per §11.4.26 step 4 / §2.1 (no force-push</w:t>
      </w:r>
      <w:r>
        <w:t xml:space="preserve"> </w:t>
      </w:r>
      <w:r>
        <w:t xml:space="preserve">per §11.4.113).</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 Type="http://schemas.openxmlformats.org/officeDocument/2006/relationships/hyperlink" Id="rId12" Target="constitution/Constitution.md"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 Type="http://schemas.openxmlformats.org/officeDocument/2006/relationships/hyperlink" Id="rId12" Target="constitution/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2026-10-11T22:24:03Z</dcterms:created>
  <dcterms:modified xsi:type="dcterms:W3CDTF">2026-10-11T22:24:03Z</dcterms:modified>
</cp:coreProperties>
</file>

<file path=docProps/custom.xml><?xml version="1.0" encoding="utf-8"?>
<Properties xmlns="http://schemas.openxmlformats.org/officeDocument/2006/custom-properties" xmlns:vt="http://schemas.openxmlformats.org/officeDocument/2006/docPropsVTypes"/>
</file>