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635f8bd1279f54381c294f96f0f317dbcd6b29"/>
    <w:p>
      <w:pPr>
        <w:pStyle w:val="Heading1"/>
      </w:pPr>
      <w:r>
        <w:t xml:space="preserve">Action-Prefix System — Test Plan (all supported test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unit + integration + e2e + meta-test (paired §1.1 mutation) for §11.4.140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</w:p>
        </w:tc>
      </w:tr>
    </w:tbl>
    <w:p>
      <w:pPr>
        <w:pStyle w:val="BlockText"/>
      </w:pPr>
      <w:r>
        <w:t xml:space="preserve">Anti-bluff (§11.4 / §11.4.27 / §11.4.107): every test below produces a</w:t>
      </w:r>
      <w:r>
        <w:t xml:space="preserve"> </w:t>
      </w:r>
      <w:r>
        <w:t xml:space="preserve">captured-evidence artefact under</w:t>
      </w:r>
      <w:r>
        <w:t xml:space="preserve"> </w:t>
      </w:r>
      <w:r>
        <w:rPr>
          <w:rStyle w:val="VerbatimChar"/>
        </w:rPr>
        <w:t xml:space="preserve">qa-results/action_prefix/&lt;run-id&gt;/</w:t>
      </w:r>
      <w:r>
        <w:t xml:space="preserve">. A PASS</w:t>
      </w:r>
      <w:r>
        <w:t xml:space="preserve"> </w:t>
      </w:r>
      <w:r>
        <w:t xml:space="preserve">without its cited evidence file is a §11.4 PASS-bluff. No mock outside unit</w:t>
      </w:r>
      <w:r>
        <w:t xml:space="preserve"> </w:t>
      </w:r>
      <w:r>
        <w:t xml:space="preserve">tests (§11.4.27): integration + e2e drive the REAL registry + REAL hook + a</w:t>
      </w:r>
      <w:r>
        <w:t xml:space="preserve"> </w:t>
      </w:r>
      <w:r>
        <w:t xml:space="preserve">REAL agent invocation.</w:t>
      </w:r>
    </w:p>
    <w:p>
      <w:r>
        <w:pict>
          <v:rect style="width:0;height:1.5pt" o:hralign="center" o:hrstd="t" o:hr="t"/>
        </w:pict>
      </w:r>
    </w:p>
    <w:bookmarkStart w:id="9" w:name="Xc988fd3c7816d5f1c3218cbe82f27a4a903985c"/>
    <w:p>
      <w:pPr>
        <w:pStyle w:val="Heading2"/>
      </w:pPr>
      <w:r>
        <w:t xml:space="preserve">1. UNIT — registry parse + grammar match/no-match/escape (the expander)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(the pure expander) + the registry.</w:t>
      </w:r>
      <w:r>
        <w:t xml:space="preserve"> </w:t>
      </w:r>
      <w:r>
        <w:t xml:space="preserve">Driver: a bash test harness</w:t>
      </w:r>
      <w:r>
        <w:t xml:space="preserve"> </w:t>
      </w:r>
      <w:r>
        <w:rPr>
          <w:rStyle w:val="VerbatimChar"/>
        </w:rPr>
        <w:t xml:space="preserve">test_action_prefix_unit.sh</w:t>
      </w:r>
      <w:r>
        <w:t xml:space="preserve"> </w:t>
      </w:r>
      <w:r>
        <w:t xml:space="preserve">(sh -n + bash -n clean</w:t>
      </w:r>
      <w:r>
        <w:t xml:space="preserve"> </w:t>
      </w:r>
      <w:r>
        <w:t xml:space="preserve">per §11.4.67), N=3 deterministic per §11.4.50.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Input prompt (first line)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registry parses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YAML loads; schema_version present; BACKGROUND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registry_parse.json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matched=true, action=BACKGROUND, residual=</w:t>
            </w:r>
            <w:r>
              <w:rPr>
                <w:rStyle w:val="VerbatimChar"/>
              </w:rPr>
              <w:t xml:space="preserve">do X</w:t>
            </w:r>
            <w:r>
              <w:t xml:space="preserve">, expansion==registry verbatim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match_background.json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lowercase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 (ordinary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nomatch_lowercase.json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mid-prose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please 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nomatch_midprose.json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wrong separator 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BACKGROUND::do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BACKGROUND: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Foo::Bar</w:t>
            </w:r>
          </w:p>
        </w:tc>
        <w:tc>
          <w:tcPr/>
          <w:p>
            <w:pPr>
              <w:pStyle w:val="Compact"/>
            </w:pPr>
            <w:r>
              <w:t xml:space="preserve">matched=false (no</w:t>
            </w:r>
            <w:r>
              <w:t xml:space="preserve"> </w:t>
            </w:r>
            <w:r>
              <w:rPr>
                <w:rStyle w:val="VerbatimChar"/>
              </w:rPr>
              <w:t xml:space="preserve">" :: 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nomatch_separator.json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\BACKGROUND :: do X</w:t>
            </w:r>
          </w:p>
        </w:tc>
        <w:tc>
          <w:tcPr/>
          <w:p>
            <w:pPr>
              <w:pStyle w:val="Compact"/>
            </w:pPr>
            <w:r>
              <w:t xml:space="preserve">matched=false; emitted prompt=</w:t>
            </w:r>
            <w:r>
              <w:rPr>
                <w:rStyle w:val="VerbatimChar"/>
              </w:rPr>
              <w:t xml:space="preserve">BACKGROUND :: do X</w:t>
            </w:r>
            <w:r>
              <w:t xml:space="preserve"> </w:t>
            </w:r>
            <w:r>
              <w:t xml:space="preserve">(backslash stripped, NO expansion)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escape_literal.json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stacked 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 :: BACKGROUND :: do X</w:t>
            </w:r>
            <w:r>
              <w:t xml:space="preserve"> </w:t>
            </w:r>
            <w:r>
              <w:t xml:space="preserve">(with a second test action OUTER)</w:t>
            </w:r>
          </w:p>
        </w:tc>
        <w:tc>
          <w:tcPr/>
          <w:p>
            <w:pPr>
              <w:pStyle w:val="Compact"/>
            </w:pPr>
            <w:r>
              <w:t xml:space="preserve">both expand outer-to-inner; residual=</w:t>
            </w:r>
            <w:r>
              <w:rPr>
                <w:rStyle w:val="VerbatimChar"/>
              </w:rPr>
              <w:t xml:space="preserve">do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stacked.json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unknown grammar-shaped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BACGROUND :: do X</w:t>
            </w:r>
            <w:r>
              <w:t xml:space="preserve"> </w:t>
            </w:r>
            <w:r>
              <w:t xml:space="preserve">(typo)</w:t>
            </w:r>
          </w:p>
        </w:tc>
        <w:tc>
          <w:tcPr/>
          <w:p>
            <w:pPr>
              <w:pStyle w:val="Compact"/>
            </w:pPr>
            <w:r>
              <w:t xml:space="preserve">matched=false-but-shaped; verdict=ASK (names closest registered action); NO invented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unknown_ask.json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empty / blank prompt</w:t>
            </w:r>
          </w:p>
        </w:tc>
        <w:tc>
          <w:tcPr/>
          <w:p>
            <w:pPr>
              <w:pStyle w:val="Compact"/>
            </w:pPr>
            <w:r>
              <w:t xml:space="preserve">`` / whitespace</w:t>
            </w:r>
          </w:p>
        </w:tc>
        <w:tc>
          <w:tcPr/>
          <w:p>
            <w:pPr>
              <w:pStyle w:val="Compact"/>
            </w:pPr>
            <w:r>
              <w:t xml:space="preserve">matched=false, no crash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leading blank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\n\nBACKGROUND :: do X</w:t>
            </w:r>
          </w:p>
        </w:tc>
        <w:tc>
          <w:tcPr/>
          <w:p>
            <w:pPr>
              <w:pStyle w:val="Compact"/>
            </w:pPr>
            <w:r>
              <w:t xml:space="preserve">matched=true (first NON-blank 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leading_blanks.json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BACKGROUND expansion fidelity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x</w:t>
            </w:r>
          </w:p>
        </w:tc>
        <w:tc>
          <w:tcPr/>
          <w:p>
            <w:pPr>
              <w:pStyle w:val="Compact"/>
            </w:pPr>
            <w:r>
              <w:t xml:space="preserve">emitted expansion byte-equals the operator's verbatim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expansion_fidelity.json</w:t>
            </w:r>
          </w:p>
        </w:tc>
      </w:tr>
    </w:tbl>
    <w:p>
      <w:pPr>
        <w:pStyle w:val="BodyText"/>
      </w:pPr>
      <w:r>
        <w:t xml:space="preserve">PASS criterion: every case's actual == expected across N=3 identical runs</w:t>
      </w:r>
      <w:r>
        <w:t xml:space="preserve"> </w:t>
      </w:r>
      <w:r>
        <w:t xml:space="preserve">(§11.4.50 evidence-hash identical). Each row writes its JSON evidence; the</w:t>
      </w:r>
      <w:r>
        <w:t xml:space="preserve"> </w:t>
      </w:r>
      <w:r>
        <w:t xml:space="preserve">harness asserts presence + content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(§11.4.69).</w:t>
      </w:r>
    </w:p>
    <w:p>
      <w:r>
        <w:pict>
          <v:rect style="width:0;height:1.5pt" o:hralign="center" o:hrstd="t" o:hr="t"/>
        </w:pict>
      </w:r>
    </w:p>
    <w:bookmarkEnd w:id="9"/>
    <w:bookmarkStart w:id="10" w:name="X2df23471780a3f66bfa553ef651a6bca72a48de"/>
    <w:p>
      <w:pPr>
        <w:pStyle w:val="Heading2"/>
      </w:pPr>
      <w:r>
        <w:t xml:space="preserve">2. INTEGRATION — the Claude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rewrites correctly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scripts/hooks/action-prefix-expand.sh</w:t>
      </w:r>
      <w:r>
        <w:t xml:space="preserve"> </w:t>
      </w:r>
      <w:r>
        <w:t xml:space="preserve">(the real hook, reading the real</w:t>
      </w:r>
      <w:r>
        <w:t xml:space="preserve"> </w:t>
      </w:r>
      <w:r>
        <w:t xml:space="preserve">registry). No mock (§11.4.27). Driver:</w:t>
      </w:r>
      <w:r>
        <w:t xml:space="preserve"> </w:t>
      </w:r>
      <w:r>
        <w:rPr>
          <w:rStyle w:val="VerbatimChar"/>
        </w:rPr>
        <w:t xml:space="preserve">test_action_prefix_hook.sh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Feed on stdin (UserPromptSubmit JSON)</w:t>
            </w:r>
          </w:p>
        </w:tc>
        <w:tc>
          <w:tcPr/>
          <w:p>
            <w:pPr>
              <w:pStyle w:val="Compact"/>
            </w:pPr>
            <w:r>
              <w:t xml:space="preserve">Expect on stdout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match → additionalContext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{"prompt":"BACKGROUND :: build the parser"}</w:t>
            </w:r>
          </w:p>
        </w:tc>
        <w:tc>
          <w:tcPr/>
          <w:p>
            <w:pPr>
              <w:pStyle w:val="Compact"/>
            </w:pPr>
            <w:r>
              <w:t xml:space="preserve">exit 0 + JSON</w:t>
            </w:r>
            <w:r>
              <w:t xml:space="preserve"> </w:t>
            </w:r>
            <w:r>
              <w:rPr>
                <w:rStyle w:val="VerbatimChar"/>
              </w:rPr>
              <w:t xml:space="preserve">hookSpecificOutput.additionalContext</w:t>
            </w:r>
            <w:r>
              <w:t xml:space="preserve"> </w:t>
            </w:r>
            <w:r>
              <w:t xml:space="preserve">containing the BACKGROUND expansion + residual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hook_match.json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no-match → no-op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{"prompt":"build the parser"}</w:t>
            </w:r>
          </w:p>
        </w:tc>
        <w:tc>
          <w:tcPr/>
          <w:p>
            <w:pPr>
              <w:pStyle w:val="Compact"/>
            </w:pPr>
            <w:r>
              <w:t xml:space="preserve">exit 0 + empty stdout (no injection)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hook_nomatch.txt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escape → no-op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{"prompt":"\\BACKGROUND :: x"}</w:t>
            </w:r>
          </w:p>
        </w:tc>
        <w:tc>
          <w:tcPr/>
          <w:p>
            <w:pPr>
              <w:pStyle w:val="Compact"/>
            </w:pPr>
            <w:r>
              <w:t xml:space="preserve">exit 0 + empty (literal)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hook_escape.txt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unknown shaped → clarify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{"prompt":"BACGROUND :: x"}</w:t>
            </w:r>
          </w:p>
        </w:tc>
        <w:tc>
          <w:tcPr/>
          <w:p>
            <w:pPr>
              <w:pStyle w:val="Compact"/>
            </w:pPr>
            <w:r>
              <w:t xml:space="preserve">exit 0 + additionalContext asks which action (§11.4.66/§11.4.105), no invented 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hook_unknown.json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no-jq fallback parity</w:t>
            </w:r>
          </w:p>
        </w:tc>
        <w:tc>
          <w:tcPr/>
          <w:p>
            <w:pPr>
              <w:pStyle w:val="Compact"/>
            </w:pPr>
            <w:r>
              <w:t xml:space="preserve">I1 with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stripped of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identical output to I1 (embedded extractor)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hook_nojq.json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registry path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HELIX_ACTION_REGISTRY=/tmp/alt.yaml</w:t>
            </w:r>
            <w:r>
              <w:t xml:space="preserve"> </w:t>
            </w:r>
            <w:r>
              <w:t xml:space="preserve">with a custom action</w:t>
            </w:r>
          </w:p>
        </w:tc>
        <w:tc>
          <w:tcPr/>
          <w:p>
            <w:pPr>
              <w:pStyle w:val="Compact"/>
            </w:pPr>
            <w:r>
              <w:t xml:space="preserve">hook expands the custom action (decoupling proof, §11.4.28)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hook_override.json</w:t>
            </w:r>
          </w:p>
        </w:tc>
      </w:tr>
    </w:tbl>
    <w:p>
      <w:pPr>
        <w:pStyle w:val="BodyText"/>
      </w:pPr>
      <w:r>
        <w:t xml:space="preserve">PASS criterion: stdout JSON validates +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contains the</w:t>
      </w:r>
      <w:r>
        <w:t xml:space="preserve"> </w:t>
      </w:r>
      <w:r>
        <w:t xml:space="preserve">registry-verbatim expansion (I1/I5/I6); empty for no-op cases. Hook contract</w:t>
      </w:r>
      <w:r>
        <w:t xml:space="preserve"> </w:t>
      </w:r>
      <w:r>
        <w:t xml:space="preserve">matches RESEARCH.md §1.1 (additive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, exit 0).</w:t>
      </w:r>
    </w:p>
    <w:p>
      <w:r>
        <w:pict>
          <v:rect style="width:0;height:1.5pt" o:hralign="center" o:hrstd="t" o:hr="t"/>
        </w:pict>
      </w:r>
    </w:p>
    <w:bookmarkEnd w:id="10"/>
    <w:bookmarkStart w:id="11" w:name="Xc278491234653c29d3540b20e28145e8d2ff4da"/>
    <w:p>
      <w:pPr>
        <w:pStyle w:val="Heading2"/>
      </w:pPr>
      <w:r>
        <w:t xml:space="preserve">3. E2E — a real agent given a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prompt applies the expansion</w:t>
      </w:r>
    </w:p>
    <w:p>
      <w:pPr>
        <w:pStyle w:val="FirstParagraph"/>
      </w:pPr>
      <w:r>
        <w:t xml:space="preserve">Per §11.4.52 (autonomous) + §11.4.98 (no manual intervention) + §11.4.107</w:t>
      </w:r>
      <w:r>
        <w:t xml:space="preserve"> </w:t>
      </w:r>
      <w:r>
        <w:t xml:space="preserve">(real-content liveness). Two tiers honour the §11.4.3 topology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E3a — Claude Code (LAYER 2 mechanical, autonomous):</w:t>
      </w:r>
      <w:r>
        <w:t xml:space="preserve"> </w:t>
      </w:r>
      <w:r>
        <w:t xml:space="preserve">run Claude Code</w:t>
      </w:r>
      <w:r>
        <w:t xml:space="preserve"> </w:t>
      </w:r>
      <w:r>
        <w:t xml:space="preserve">headless (</w:t>
      </w:r>
      <w:r>
        <w:rPr>
          <w:rStyle w:val="VerbatimChar"/>
        </w:rPr>
        <w:t xml:space="preserve">claude -p</w:t>
      </w:r>
      <w:r>
        <w:t xml:space="preserve">) with the hook installed, feeding</w:t>
      </w:r>
      <w:r>
        <w:t xml:space="preserve"> </w:t>
      </w:r>
      <w:r>
        <w:rPr>
          <w:rStyle w:val="VerbatimChar"/>
        </w:rPr>
        <w:t xml:space="preserve">BACKGROUND :: print the words HELIX_BG_OK to a file</w:t>
      </w:r>
      <w:r>
        <w:t xml:space="preserve">. Assert (i) the agent's</w:t>
      </w:r>
      <w:r>
        <w:t xml:space="preserve"> </w:t>
      </w:r>
      <w:r>
        <w:t xml:space="preserve">transcript shows the BACKGROUND expansion was applied (it announces/uses the</w:t>
      </w:r>
      <w:r>
        <w:t xml:space="preserve"> </w:t>
      </w:r>
      <w:r>
        <w:t xml:space="preserve">background-subagent + captured-evidence framing), and (ii) the residual task</w:t>
      </w:r>
      <w:r>
        <w:t xml:space="preserve"> </w:t>
      </w:r>
      <w:r>
        <w:t xml:space="preserve">ran. Captured evidence: the session transcript under</w:t>
      </w:r>
      <w:r>
        <w:t xml:space="preserve"> </w:t>
      </w:r>
      <w:r>
        <w:rPr>
          <w:rStyle w:val="VerbatimChar"/>
        </w:rPr>
        <w:t xml:space="preserve">docs/qa/&lt;run-id&gt;/e3a_claude/</w:t>
      </w:r>
      <w:r>
        <w:t xml:space="preserve"> </w:t>
      </w:r>
      <w:r>
        <w:t xml:space="preserve">+ the produced file. This is the autonomous,</w:t>
      </w:r>
      <w:r>
        <w:t xml:space="preserve"> </w:t>
      </w:r>
      <w:r>
        <w:t xml:space="preserve">re-runnable path (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per §11.4.98).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E3b — non-hook agent (LAYER 1, self-applied):</w:t>
      </w:r>
      <w:r>
        <w:t xml:space="preserve"> </w:t>
      </w:r>
      <w:r>
        <w:t xml:space="preserve">with the §11.4.140 mirror</w:t>
      </w:r>
      <w:r>
        <w:t xml:space="preserve"> </w:t>
      </w:r>
      <w:r>
        <w:t xml:space="preserve">block present in the agent's carrier (AGENTS.md/GEMINI.md/QWEN.md), feed the</w:t>
      </w:r>
      <w:r>
        <w:t xml:space="preserve"> </w:t>
      </w:r>
      <w:r>
        <w:t xml:space="preserve">same prompt to a non-Claude agent (Gemini CLI or Codex CLI, whichever is</w:t>
      </w:r>
      <w:r>
        <w:t xml:space="preserve"> </w:t>
      </w:r>
      <w:r>
        <w:t xml:space="preserve">installed) and assert the agent's response reflects the expansion (it treats</w:t>
      </w:r>
      <w:r>
        <w:t xml:space="preserve"> </w:t>
      </w:r>
      <w:r>
        <w:t xml:space="preserve">the work as background/subagent + evidence-backed). Captured: transcript under</w:t>
      </w:r>
      <w:r>
        <w:t xml:space="preserve"> </w:t>
      </w:r>
      <w:r>
        <w:rPr>
          <w:rStyle w:val="VerbatimChar"/>
        </w:rPr>
        <w:t xml:space="preserve">docs/qa/&lt;run-id&gt;/e3b_&lt;agent&gt;/</w:t>
      </w:r>
      <w:r>
        <w:t xml:space="preserve">. Where no second agent is installed →</w:t>
      </w:r>
      <w:r>
        <w:t xml:space="preserve"> </w:t>
      </w:r>
      <w:r>
        <w:t xml:space="preserve">SKIP-with-reason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/</w:t>
      </w:r>
      <w:r>
        <w:rPr>
          <w:rStyle w:val="VerbatimChar"/>
        </w:rPr>
        <w:t xml:space="preserve">feature_disabled_by_config</w:t>
      </w:r>
      <w:r>
        <w:t xml:space="preserve"> </w:t>
      </w:r>
      <w:r>
        <w:t xml:space="preserve">per</w:t>
      </w:r>
      <w:r>
        <w:t xml:space="preserve"> </w:t>
      </w:r>
      <w:r>
        <w:t xml:space="preserve">§11.4.69 + a tracked operator-attended migration item (§11.4.52) — NEVER a</w:t>
      </w:r>
      <w:r>
        <w:t xml:space="preserve"> </w:t>
      </w:r>
      <w:r>
        <w:t xml:space="preserve">fake PASS.</w:t>
      </w:r>
    </w:p>
    <w:p>
      <w:pPr>
        <w:pStyle w:val="FirstParagraph"/>
      </w:pPr>
      <w:r>
        <w:rPr>
          <w:b/>
          <w:bCs/>
        </w:rPr>
        <w:t xml:space="preserve">Honest §11.4.6 boundary:</w:t>
      </w:r>
      <w:r>
        <w:t xml:space="preserve"> </w:t>
      </w:r>
      <w:r>
        <w:t xml:space="preserve">E3b asserts the model</w:t>
      </w:r>
      <w:r>
        <w:t xml:space="preserve"> </w:t>
      </w:r>
      <w:r>
        <w:rPr>
          <w:i/>
          <w:iCs/>
        </w:rPr>
        <w:t xml:space="preserve">applies the expansion's</w:t>
      </w:r>
      <w:r>
        <w:rPr>
          <w:i/>
          <w:iCs/>
        </w:rPr>
        <w:t xml:space="preserve"> </w:t>
      </w:r>
      <w:r>
        <w:rPr>
          <w:i/>
          <w:iCs/>
        </w:rPr>
        <w:t xml:space="preserve">intent</w:t>
      </w:r>
      <w:r>
        <w:t xml:space="preserve">, which is a judgement-bearing assertion. To keep it anti-bluff, the</w:t>
      </w:r>
      <w:r>
        <w:t xml:space="preserve"> </w:t>
      </w:r>
      <w:r>
        <w:t xml:space="preserve">unknown/escape/no-match control prompts (E3c) MUST produce the OPPOSITE</w:t>
      </w:r>
      <w:r>
        <w:t xml:space="preserve"> </w:t>
      </w:r>
      <w:r>
        <w:t xml:space="preserve">behaviour (no background framing) — the metamorphic relation (§11.4.107(8))</w:t>
      </w:r>
      <w:r>
        <w:t xml:space="preserve"> </w:t>
      </w:r>
      <w:r>
        <w:t xml:space="preserve">proving the expansion is what caused the behaviour, not a generic prior.</w:t>
      </w:r>
    </w:p>
    <w:p>
      <w:r>
        <w:pict>
          <v:rect style="width:0;height:1.5pt" o:hralign="center" o:hrstd="t" o:hr="t"/>
        </w:pict>
      </w:r>
    </w:p>
    <w:bookmarkEnd w:id="11"/>
    <w:bookmarkStart w:id="12" w:name="Xe5aad144c3f7aac974b5460f25d7aac3d59b049"/>
    <w:p>
      <w:pPr>
        <w:pStyle w:val="Heading2"/>
      </w:pPr>
      <w:r>
        <w:t xml:space="preserve">4. META-TEST — paired §1.1 mutation (the gate is not a bluff gate)</w:t>
      </w:r>
    </w:p>
    <w:p>
      <w:pPr>
        <w:pStyle w:val="FirstParagraph"/>
      </w:pPr>
      <w:r>
        <w:t xml:space="preserve">Target gate:</w:t>
      </w:r>
      <w:r>
        <w:t xml:space="preserve"> </w:t>
      </w:r>
      <w:r>
        <w:rPr>
          <w:rStyle w:val="VerbatimChar"/>
        </w:rPr>
        <w:t xml:space="preserve">CM-ACTION-PREFIX-SYSTEM</w:t>
      </w:r>
      <w:r>
        <w:t xml:space="preserve">. The gate asserts: registry exists +</w:t>
      </w:r>
      <w:r>
        <w:t xml:space="preserve"> </w:t>
      </w:r>
      <w:r>
        <w:t xml:space="preserve">parses;</w:t>
      </w:r>
      <w:r>
        <w:t xml:space="preserve"> </w:t>
      </w:r>
      <w:r>
        <w:rPr>
          <w:rStyle w:val="VerbatimChar"/>
        </w:rPr>
        <w:t xml:space="preserve">prefix_regex</w:t>
      </w:r>
      <w:r>
        <w:t xml:space="preserve"> </w:t>
      </w:r>
      <w:r>
        <w:t xml:space="preserve">present; the BACKGROUND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byte-matches the</w:t>
      </w:r>
      <w:r>
        <w:t xml:space="preserve"> </w:t>
      </w:r>
      <w:r>
        <w:t xml:space="preserve">operator verbatim; the LAYER-1 mirror block present in all four carriers</w:t>
      </w:r>
      <w:r>
        <w:t xml:space="preserve"> </w:t>
      </w:r>
      <w:r>
        <w:t xml:space="preserve">(CLAUDE.md/AGENTS.md/QWEN.md/GEMINI.md); the hook + expander scripts exist +</w:t>
      </w:r>
      <w:r>
        <w:t xml:space="preserve"> </w:t>
      </w:r>
      <w:r>
        <w:t xml:space="preserve">executable 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/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clean.</w:t>
      </w:r>
    </w:p>
    <w:p>
      <w:pPr>
        <w:pStyle w:val="BodyText"/>
      </w:pPr>
      <w:r>
        <w:t xml:space="preserve">Paired mutations (each MUST flip the gate to FAIL, then restore to PASS):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Gate 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corrupt one word of the BACKGROUND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registry.yaml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expansion</w:t>
            </w:r>
            <w:r>
              <w:t xml:space="preserve"> </w:t>
            </w:r>
            <w:r>
              <w:t xml:space="preserve">fidelity)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FAIL (grammar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remove the §11.4.140 mirror block from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FAIL (carrier coverage incomplete)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-x scripts/hooks/action-prefix-expand.sh</w:t>
            </w:r>
          </w:p>
        </w:tc>
        <w:tc>
          <w:tcPr/>
          <w:p>
            <w:pPr>
              <w:pStyle w:val="Compact"/>
            </w:pPr>
            <w:r>
              <w:t xml:space="preserve">FAIL (hook not executable)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strip the literal</w:t>
            </w:r>
            <w:r>
              <w:t xml:space="preserve"> </w:t>
            </w:r>
            <w:r>
              <w:rPr>
                <w:rStyle w:val="VerbatimChar"/>
              </w:rPr>
              <w:t xml:space="preserve">11.4.140</w:t>
            </w:r>
            <w:r>
              <w:t xml:space="preserve"> </w:t>
            </w:r>
            <w:r>
              <w:t xml:space="preserve">from one consumer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CM-COVENANT-114-140-PROPAGATION</w:t>
            </w:r>
            <w:r>
              <w:t xml:space="preserve"> </w:t>
            </w:r>
            <w:r>
              <w:t xml:space="preserve">FAILs</w:t>
            </w:r>
          </w:p>
        </w:tc>
      </w:tr>
    </w:tbl>
    <w:p>
      <w:pPr>
        <w:pStyle w:val="BodyText"/>
      </w:pPr>
      <w:r>
        <w:t xml:space="preserve">Plus a behavioural mutation proving the EXPANDER catches its own negation: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expand_prefix.sh</w:t>
      </w:r>
      <w:r>
        <w:t xml:space="preserve"> </w:t>
      </w:r>
      <w:r>
        <w:t xml:space="preserve">always return matched=false → unit cases U2/U7/U11 FAIL.</w:t>
      </w:r>
      <w:r>
        <w:t xml:space="preserve"> </w:t>
      </w:r>
      <w:r>
        <w:t xml:space="preserve">And make it expand on lowercase → U3 FAILs. Restore after each (§11.4.84</w:t>
      </w:r>
      <w:r>
        <w:t xml:space="preserve"> </w:t>
      </w:r>
      <w:r>
        <w:t xml:space="preserve">quiescence — mutations serialised, working tree clean before any commit).</w:t>
      </w:r>
    </w:p>
    <w:p>
      <w:r>
        <w:pict>
          <v:rect style="width:0;height:1.5pt" o:hralign="center" o:hrstd="t" o:hr="t"/>
        </w:pict>
      </w:r>
    </w:p>
    <w:bookmarkEnd w:id="12"/>
    <w:bookmarkStart w:id="13" w:name="Xac034a154b4a37fbe98a69b3293081449836033"/>
    <w:p>
      <w:pPr>
        <w:pStyle w:val="Heading2"/>
      </w:pPr>
      <w:r>
        <w:t xml:space="preserve">5. Evidence + determinism summary</w:t>
      </w:r>
    </w:p>
    <w:p>
      <w:pPr>
        <w:pStyle w:val="Compact"/>
        <w:numPr>
          <w:ilvl w:val="0"/>
          <w:numId w:val="1002"/>
        </w:numPr>
      </w:pPr>
      <w:r>
        <w:t xml:space="preserve">Every unit/integration/e2e case writes a captured-evidence artefact under</w:t>
      </w:r>
      <w:r>
        <w:t xml:space="preserve"> </w:t>
      </w:r>
      <w:r>
        <w:rPr>
          <w:rStyle w:val="VerbatimChar"/>
        </w:rPr>
        <w:t xml:space="preserve">qa-results/action_prefix/&lt;run-id&gt;/</w:t>
      </w:r>
      <w:r>
        <w:t xml:space="preserve"> </w:t>
      </w:r>
      <w:r>
        <w:t xml:space="preserve">(unit/integration) or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(e2e), cited by the PASS line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(§11.4.69).</w:t>
      </w:r>
    </w:p>
    <w:p>
      <w:pPr>
        <w:pStyle w:val="Compact"/>
        <w:numPr>
          <w:ilvl w:val="0"/>
          <w:numId w:val="1002"/>
        </w:numPr>
      </w:pPr>
      <w:r>
        <w:t xml:space="preserve">All harnesses are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 (§11.4.67), run N=3 with identical</w:t>
      </w:r>
      <w:r>
        <w:t xml:space="preserve"> </w:t>
      </w:r>
      <w:r>
        <w:t xml:space="preserve">exit codes + evidence-hashes (§11.4.50), and self-clean (§11.4.14, trap EXIT).</w:t>
      </w:r>
    </w:p>
    <w:p>
      <w:pPr>
        <w:pStyle w:val="Compact"/>
        <w:numPr>
          <w:ilvl w:val="0"/>
          <w:numId w:val="1002"/>
        </w:numPr>
      </w:pPr>
      <w:r>
        <w:t xml:space="preserve">The e2e tier is fully automated + re-runnable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(§11.4.98); the</w:t>
      </w:r>
      <w:r>
        <w:t xml:space="preserve"> </w:t>
      </w:r>
      <w:r>
        <w:t xml:space="preserve">non-Claude tier SKIPs honestly with a tracked migration item when no second</w:t>
      </w:r>
      <w:r>
        <w:t xml:space="preserve"> </w:t>
      </w:r>
      <w:r>
        <w:t xml:space="preserve">agent is installed (§11.4.3 / §11.4.52) — never a fake PASS.</w:t>
      </w:r>
    </w:p>
    <w:p>
      <w:pPr>
        <w:pStyle w:val="Compact"/>
        <w:numPr>
          <w:ilvl w:val="0"/>
          <w:numId w:val="1002"/>
        </w:numPr>
      </w:pPr>
      <w:r>
        <w:t xml:space="preserve">This four-type coverage (unit + integration + e2e + meta-test mutation) is the</w:t>
      </w:r>
      <w:r>
        <w:t xml:space="preserve"> </w:t>
      </w:r>
      <w:r>
        <w:t xml:space="preserve">§11.4.4(b) four-layer floor for §11.4.140; the HelixQA Challenge-bank entry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CME-ACTION-PREFIX-001</w:t>
      </w:r>
      <w:r>
        <w:t xml:space="preserve"> </w:t>
      </w:r>
      <w:r>
        <w:t xml:space="preserve">Challenge dispatching to E3a/E3b) is the</w:t>
      </w:r>
      <w:r>
        <w:t xml:space="preserve"> </w:t>
      </w:r>
      <w:r>
        <w:t xml:space="preserve">user-visible layer 4 (§11.4.27).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2026-10-11T22:24:04Z</dcterms:created>
  <dcterms:modified xsi:type="dcterms:W3CDTF">2026-10-11T22:24:04Z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