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997d15081839dd66a021069c9ed550f27180576"/>
    <w:p>
      <w:pPr>
        <w:pStyle w:val="Heading1"/>
      </w:pPr>
      <w:r>
        <w:t xml:space="preserve">Game-Changers Analysis — Operator Material #2 ("5 game changers"), verified + adapted to bash/Go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2026-07-22T21:40:00Z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2026-07-22T22:55:00Z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all 5 game-changers verified against primary sources + literature; 6 pre-flagged concerns resolved with evidence; ADOPT/ADAPT/REJECT verdicts + bash/Go designs for every ADOPT/ADAPT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claude4) BG-GAMECHANGERS deep-research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inputs/OPERATOR_SUPPLIED_GAMECHANGERS_20260722.md</w:t>
            </w:r>
            <w:r>
              <w:t xml:space="preserve"> </w:t>
            </w:r>
            <w:r>
              <w:t xml:space="preserve">(operator-supplied third-party AI transcript #2, pre-flagged UNVERIFIED)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Sibling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TOOLING_STACK_VERIFICATION.md</w:t>
            </w:r>
            <w:r>
              <w:t xml:space="preserve"> </w:t>
            </w:r>
            <w:r>
              <w:t xml:space="preserve">(material #1 verification — the ~2/3-accurate baseline),</w:t>
            </w:r>
            <w:r>
              <w:t xml:space="preserve"> </w:t>
            </w:r>
            <w:r>
              <w:rPr>
                <w:rStyle w:val="VerbatimChar"/>
              </w:rPr>
              <w:t xml:space="preserve">EXTERNAL_RESEARCH.md</w:t>
            </w:r>
            <w:r>
              <w:t xml:space="preserve"> </w:t>
            </w:r>
            <w:r>
              <w:t xml:space="preserve">(Phase 2, R1–R7),</w:t>
            </w:r>
            <w:r>
              <w:t xml:space="preserve"> </w:t>
            </w:r>
            <w:r>
              <w:rPr>
                <w:rStyle w:val="VerbatimChar"/>
              </w:rPr>
              <w:t xml:space="preserve">ROOT_CAUSE_ANALYSIS.md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solutions/README.md</w:t>
            </w:r>
            <w:r>
              <w:t xml:space="preserve"> </w:t>
            </w:r>
            <w:r>
              <w:t xml:space="preserve">(SOL-01..10)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 constraint</w:t>
            </w:r>
          </w:p>
        </w:tc>
        <w:tc>
          <w:tcPr/>
          <w:p>
            <w:pPr>
              <w:pStyle w:val="Compact"/>
            </w:pPr>
            <w:r>
              <w:t xml:space="preserve">Operator directive 2026-07-22: any codebase we incorporate is</w:t>
            </w:r>
            <w:r>
              <w:t xml:space="preserve"> </w:t>
            </w:r>
            <w:r>
              <w:rPr>
                <w:b/>
                <w:bCs/>
              </w:rPr>
              <w:t xml:space="preserve">bash + Go (Gin gonic for networking)</w:t>
            </w:r>
            <w:r>
              <w:t xml:space="preserve">. The material's Python/JS code is REFERENCE-ONLY, never an adoption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universal (§11.4.17) — mechanisms carry no project literals except where explicitly marked PROJECT-LAYER (GC-5 flash-seam instantiation); consumers supply paths/thresholds as DATA per §11.4.35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§11.4.224 scope note</w:t>
            </w:r>
          </w:p>
        </w:tc>
        <w:tc>
          <w:tcPr/>
          <w:p>
            <w:pPr>
              <w:pStyle w:val="Compact"/>
            </w:pPr>
            <w:r>
              <w:t xml:space="preserve">This document ships</w:t>
            </w:r>
            <w:r>
              <w:t xml:space="preserve"> </w:t>
            </w:r>
            <w:r>
              <w:rPr>
                <w:b/>
                <w:bCs/>
              </w:rPr>
              <w:t xml:space="preserve">zero executable artifacts</w:t>
            </w:r>
            <w:r>
              <w:t xml:space="preserve"> </w:t>
            </w:r>
            <w:r>
              <w:t xml:space="preserve">— every design below is a specification (per §11.4.224(F) prose is not coverage-scoped). Each design names the RED-first test that MUST be written before its implementation exists. No TDD ceremony is faked here.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2de74f068fc268dad2a8c44d9d1bec4c9cab351"/>
    <w:p>
      <w:pPr>
        <w:pStyle w:val="Heading2"/>
      </w:pPr>
      <w:r>
        <w:t xml:space="preserve">0. Executive verdict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Game-changer</w:t>
            </w:r>
          </w:p>
        </w:tc>
        <w:tc>
          <w:tcPr/>
          <w:p>
            <w:pPr>
              <w:pStyle w:val="Compact"/>
            </w:pPr>
            <w:r>
              <w:t xml:space="preserve">Named-artifact accuracy</w:t>
            </w:r>
          </w:p>
        </w:tc>
        <w:tc>
          <w:tcPr/>
          <w:p>
            <w:pPr>
              <w:pStyle w:val="Compact"/>
            </w:pPr>
            <w:r>
              <w:t xml:space="preserve">Mechanism accuracy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Binds at a seam?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GC-1</w:t>
            </w:r>
          </w:p>
        </w:tc>
        <w:tc>
          <w:tcPr/>
          <w:p>
            <w:pPr>
              <w:pStyle w:val="Compact"/>
            </w:pPr>
            <w:r>
              <w:t xml:space="preserve">Mutation testing gate, 100% kill</w:t>
            </w:r>
          </w:p>
        </w:tc>
        <w:tc>
          <w:tcPr/>
          <w:p>
            <w:pPr>
              <w:pStyle w:val="Compact"/>
            </w:pPr>
            <w:r>
              <w:t xml:space="preserve">Tools real (stryker-js, mutmut,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threshold)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Broken</w:t>
            </w:r>
            <w:r>
              <w:t xml:space="preserve">: hook wiring uses the proven-dead</w:t>
            </w:r>
            <w:r>
              <w:t xml:space="preserve"> </w:t>
            </w:r>
            <w:r>
              <w:rPr>
                <w:rStyle w:val="VerbatimChar"/>
              </w:rPr>
              <w:t xml:space="preserve">$CLAUDE_TOOL_INPUT</w:t>
            </w:r>
            <w:r>
              <w:t xml:space="preserve"> </w:t>
            </w:r>
            <w:r>
              <w:t xml:space="preserve">pattern; 100% whole-corpus kill contradicted by the strongest industrial evidence + formally unachievable (equivalent mutants)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</w:t>
            </w:r>
            <w:r>
              <w:t xml:space="preserve"> </w:t>
            </w:r>
            <w:r>
              <w:t xml:space="preserve">— diff-scoped Go mutation via</w:t>
            </w:r>
            <w:r>
              <w:t xml:space="preserve"> </w:t>
            </w:r>
            <w:r>
              <w:rPr>
                <w:rStyle w:val="VerbatimChar"/>
              </w:rPr>
              <w:t xml:space="preserve">gremlins</w:t>
            </w:r>
            <w:r>
              <w:t xml:space="preserve"> </w:t>
            </w:r>
            <w:r>
              <w:t xml:space="preserve">+ triage-verdict policy, NOT a 100% floor</w:t>
            </w:r>
          </w:p>
        </w:tc>
        <w:tc>
          <w:tcPr/>
          <w:p>
            <w:pPr>
              <w:pStyle w:val="Compact"/>
            </w:pPr>
            <w:r>
              <w:t xml:space="preserve">YES (pre-build/review gate, D1) — but only in our re-wiring; the material's own wiring silently never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GC-2</w:t>
            </w:r>
          </w:p>
        </w:tc>
        <w:tc>
          <w:tcPr/>
          <w:p>
            <w:pPr>
              <w:pStyle w:val="Compact"/>
            </w:pPr>
            <w:r>
              <w:t xml:space="preserve">Adversarial "Saboteur"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</w:t>
            </w:r>
            <w:r>
              <w:t xml:space="preserve"> </w:t>
            </w:r>
            <w:r>
              <w:t xml:space="preserve">real; "CodeHacker" exists but is a competitive-programming arXiv agent, not an installable red-team framework</w:t>
            </w:r>
          </w:p>
        </w:tc>
        <w:tc>
          <w:tcPr/>
          <w:p>
            <w:pPr>
              <w:pStyle w:val="Compact"/>
            </w:pPr>
            <w:r>
              <w:t xml:space="preserve">"Saboteur FAILED if it finds 0 failures" is a §11.4.201(1) FAIL-bluff engine by construction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</w:t>
            </w:r>
            <w:r>
              <w:t xml:space="preserve"> </w:t>
            </w:r>
            <w:r>
              <w:t xml:space="preserve">— Go native fuzzing (</w:t>
            </w:r>
            <w:r>
              <w:rPr>
                <w:rStyle w:val="VerbatimChar"/>
              </w:rPr>
              <w:t xml:space="preserve">testing.F</w:t>
            </w:r>
            <w:r>
              <w:t xml:space="preserve">) as the mechanical adversary + saboteur-as-review-role with an evidence-budget verdict, not a must-find-bugs verdict</w:t>
            </w:r>
          </w:p>
        </w:tc>
        <w:tc>
          <w:tcPr/>
          <w:p>
            <w:pPr>
              <w:pStyle w:val="Compact"/>
            </w:pPr>
            <w:r>
              <w:t xml:space="preserve">YES — Go fuzz</w:t>
            </w:r>
            <w:r>
              <w:t xml:space="preserve"> </w:t>
            </w:r>
            <w:r>
              <w:rPr>
                <w:b/>
                <w:bCs/>
              </w:rPr>
              <w:t xml:space="preserve">corpus replay runs inside plain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go 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forever</w:t>
            </w:r>
            <w:r>
              <w:t xml:space="preserve"> </w:t>
            </w:r>
            <w:r>
              <w:t xml:space="preserve">(the strongest binding in the whole material, and the material never mentions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GC-3</w:t>
            </w:r>
          </w:p>
        </w:tc>
        <w:tc>
          <w:tcPr/>
          <w:p>
            <w:pPr>
              <w:pStyle w:val="Compact"/>
            </w:pPr>
            <w:r>
              <w:t xml:space="preserve">Cosine-similarity architecture gate</w:t>
            </w:r>
          </w:p>
        </w:tc>
        <w:tc>
          <w:tcPr/>
          <w:p>
            <w:pPr>
              <w:pStyle w:val="Compact"/>
            </w:pPr>
            <w:r>
              <w:t xml:space="preserve">chromadb / sentence-transformers / langchain real;</w:t>
            </w:r>
            <w:r>
              <w:t xml:space="preserve"> </w:t>
            </w:r>
            <w:r>
              <w:rPr>
                <w:rStyle w:val="VerbatimChar"/>
              </w:rPr>
              <w:t xml:space="preserve">archgate</w:t>
            </w:r>
            <w:r>
              <w:t xml:space="preserve"> </w:t>
            </w:r>
            <w:r>
              <w:t xml:space="preserve">REAL but mischaracterized — it is a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 </w:t>
            </w:r>
            <w:r>
              <w:t xml:space="preserve">ADR-rules CLI, not a vector gate</w:t>
            </w:r>
          </w:p>
        </w:tc>
        <w:tc>
          <w:tcPr/>
          <w:p>
            <w:pPr>
              <w:pStyle w:val="Compact"/>
            </w:pPr>
            <w:r>
              <w:t xml:space="preserve">Embedding-similarity as a</w:t>
            </w:r>
            <w:r>
              <w:t xml:space="preserve"> </w:t>
            </w:r>
            <w:r>
              <w:rPr>
                <w:i/>
                <w:iCs/>
              </w:rPr>
              <w:t xml:space="preserve">blocking</w:t>
            </w:r>
            <w:r>
              <w:t xml:space="preserve"> </w:t>
            </w:r>
            <w:r>
              <w:t xml:space="preserve">gate is a false-positive generator with uncalibrated, mutually-inconsistent thresholds; non-deterministic across model versions (§11.4.50 violation)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mechanism / ADAPT goal</w:t>
            </w:r>
            <w:r>
              <w:t xml:space="preserve"> </w:t>
            </w:r>
            <w:r>
              <w:t xml:space="preserve">— deterministic import-graph conformance via</w:t>
            </w:r>
            <w:r>
              <w:t xml:space="preserve"> </w:t>
            </w:r>
            <w:r>
              <w:rPr>
                <w:rStyle w:val="VerbatimChar"/>
              </w:rPr>
              <w:t xml:space="preserve">go-arch-lint</w:t>
            </w:r>
            <w:r>
              <w:t xml:space="preserve"> </w:t>
            </w:r>
            <w:r>
              <w:t xml:space="preserve">+ a structure-matched bash scanner</w:t>
            </w:r>
          </w:p>
        </w:tc>
        <w:tc>
          <w:tcPr/>
          <w:p>
            <w:pPr>
              <w:pStyle w:val="Compact"/>
            </w:pPr>
            <w:r>
              <w:t xml:space="preserve">YES in the deterministic replacement form (exit-code gate at pre-build); NO in the embedding form (a gate nobody can trust binds nothing)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GC-4</w:t>
            </w:r>
          </w:p>
        </w:tc>
        <w:tc>
          <w:tcPr/>
          <w:p>
            <w:pPr>
              <w:pStyle w:val="Compact"/>
            </w:pPr>
            <w:r>
              <w:t xml:space="preserve">50-line atomic delivery, "&gt;90% reduction"</w:t>
            </w:r>
          </w:p>
        </w:tc>
        <w:tc>
          <w:tcPr/>
          <w:p>
            <w:pPr>
              <w:pStyle w:val="Compact"/>
            </w:pPr>
            <w:r>
              <w:t xml:space="preserve">No tool claims to verify</w:t>
            </w:r>
          </w:p>
        </w:tc>
        <w:tc>
          <w:tcPr/>
          <w:p>
            <w:pPr>
              <w:pStyle w:val="Compact"/>
            </w:pPr>
            <w:r>
              <w:t xml:space="preserve">"50 lines" is an invented law — real literature says 100–400 LOC at the</w:t>
            </w:r>
            <w:r>
              <w:t xml:space="preserve"> </w:t>
            </w:r>
            <w:r>
              <w:rPr>
                <w:b/>
                <w:bCs/>
              </w:rPr>
              <w:t xml:space="preserve">review</w:t>
            </w:r>
            <w:r>
              <w:t xml:space="preserve"> </w:t>
            </w:r>
            <w:r>
              <w:t xml:space="preserve">seam, with explicit carve-outs; "&gt;90% in internal trials" has</w:t>
            </w:r>
            <w:r>
              <w:t xml:space="preserve"> </w:t>
            </w:r>
            <w:r>
              <w:rPr>
                <w:b/>
                <w:bCs/>
              </w:rPr>
              <w:t xml:space="preserve">no located citation</w:t>
            </w:r>
            <w:r>
              <w:t xml:space="preserve"> </w:t>
            </w:r>
            <w:r>
              <w:t xml:space="preserve">— treated as fabricated-or-unverifiable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 as advisory review-size discipline / REJECT the hard session-halting gate</w:t>
            </w:r>
          </w:p>
        </w:tc>
        <w:tc>
          <w:tcPr/>
          <w:p>
            <w:pPr>
              <w:pStyle w:val="Compact"/>
            </w:pPr>
            <w:r>
              <w:t xml:space="preserve">NO as a hard gate (honest binding impossible without §11.4.201(1) false refusals); advisory annotation at the review-dispatch seam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GC-5</w:t>
            </w:r>
          </w:p>
        </w:tc>
        <w:tc>
          <w:tcPr/>
          <w:p>
            <w:pPr>
              <w:pStyle w:val="Compact"/>
            </w:pPr>
            <w:r>
              <w:t xml:space="preserve">Live telemetry shadowing</w:t>
            </w:r>
          </w:p>
        </w:tc>
        <w:tc>
          <w:tcPr/>
          <w:p>
            <w:pPr>
              <w:pStyle w:val="Compact"/>
            </w:pPr>
            <w:r>
              <w:t xml:space="preserve">Istio</w:t>
            </w:r>
            <w:r>
              <w:t xml:space="preserve"> </w:t>
            </w:r>
            <w:r>
              <w:rPr>
                <w:rStyle w:val="VerbatimChar"/>
              </w:rPr>
              <w:t xml:space="preserve">mirror</w:t>
            </w:r>
            <w:r>
              <w:t xml:space="preserve">/</w:t>
            </w:r>
            <w:r>
              <w:rPr>
                <w:rStyle w:val="VerbatimChar"/>
              </w:rPr>
              <w:t xml:space="preserve">mirrorPercentage</w:t>
            </w:r>
            <w:r>
              <w:t xml:space="preserve"> </w:t>
            </w:r>
            <w:r>
              <w:t xml:space="preserve">real (</w:t>
            </w:r>
            <w:r>
              <w:rPr>
                <w:rStyle w:val="VerbatimChar"/>
              </w:rPr>
              <w:t xml:space="preserve">mirrorPercent</w:t>
            </w:r>
            <w:r>
              <w:t xml:space="preserve"> </w:t>
            </w:r>
            <w:r>
              <w:t xml:space="preserve">= older field name)</w:t>
            </w:r>
          </w:p>
        </w:tc>
        <w:tc>
          <w:tcPr/>
          <w:p>
            <w:pPr>
              <w:pStyle w:val="Compact"/>
            </w:pPr>
            <w:r>
              <w:t xml:space="preserve">Mechanism REAL for HTTP services;</w:t>
            </w:r>
            <w:r>
              <w:t xml:space="preserve"> </w:t>
            </w:r>
            <w:r>
              <w:rPr>
                <w:b/>
                <w:bCs/>
              </w:rPr>
              <w:t xml:space="preserve">does not transfer to firmware</w:t>
            </w:r>
            <w:r>
              <w:t xml:space="preserve"> </w:t>
            </w:r>
            <w:r>
              <w:t xml:space="preserve">— there is no production request stream to mirror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mechanism / ADAPT principle</w:t>
            </w:r>
            <w:r>
              <w:t xml:space="preserve"> </w:t>
            </w:r>
            <w:r>
              <w:t xml:space="preserve">— canary-ordered flash promotion gate + recorded-input-trace replay; A/B auto-rollback REJECTED for this target (frozen A13 U-Boot, §11.4.133) with a §11.4.112(5)-bounded scope statement</w:t>
            </w:r>
          </w:p>
        </w:tc>
        <w:tc>
          <w:tcPr/>
          <w:p>
            <w:pPr>
              <w:pStyle w:val="Compact"/>
            </w:pPr>
            <w:r>
              <w:t xml:space="preserve">YES — a flash-seam promotion gate (device-2 flash refused until device-1 burn-in verdict exists + green)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Unified pipeline: "the system literally cannot produce a false green light"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zero-bluff-gates</w:t>
            </w:r>
            <w:r>
              <w:t xml:space="preserve"> </w:t>
            </w:r>
            <w:r>
              <w:t xml:space="preserve">repo = self-acknowledged placeholder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as stated</w:t>
            </w:r>
            <w:r>
              <w:t xml:space="preserve"> </w:t>
            </w:r>
            <w:r>
              <w:t xml:space="preserve">— no detector composition yields "cannot"; residual classes remain (equivalent mutants, oracle weakness, the coverage blind complement per</w:t>
            </w:r>
            <w:r>
              <w:t xml:space="preserve"> </w:t>
            </w:r>
            <w:r>
              <w:rPr>
                <w:rStyle w:val="VerbatimChar"/>
              </w:rPr>
              <w:t xml:space="preserve">solutions/README.md</w:t>
            </w:r>
            <w:r>
              <w:t xml:space="preserve"> </w:t>
            </w:r>
            <w:r>
              <w:t xml:space="preserve">§1)</w:t>
            </w:r>
          </w:p>
        </w:tc>
        <w:tc>
          <w:tcPr/>
          <w:p>
            <w:pPr>
              <w:pStyle w:val="Compact"/>
            </w:pPr>
            <w:r>
              <w:t xml:space="preserve">Honest framing: each layer shrinks a</w:t>
            </w:r>
            <w:r>
              <w:t xml:space="preserve"> </w:t>
            </w:r>
            <w:r>
              <w:rPr>
                <w:i/>
                <w:iCs/>
              </w:rPr>
              <w:t xml:space="preserve">named</w:t>
            </w:r>
            <w:r>
              <w:t xml:space="preserve"> </w:t>
            </w:r>
            <w:r>
              <w:t xml:space="preserve">bluff class; none eliminates all of them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Gin gonic usage: ZERO services proposed.</w:t>
      </w:r>
      <w:r>
        <w:t xml:space="preserve"> </w:t>
      </w:r>
      <w:r>
        <w:t xml:space="preserve">Per the operator's own constraint ("Gin only where networking is genuinely needed — do not invent a server"): none of the five adapted mechanisms needs a network service. The only networking candidate in the material (GC-5's</w:t>
      </w:r>
      <w:r>
        <w:t xml:space="preserve"> </w:t>
      </w:r>
      <w:r>
        <w:rPr>
          <w:rStyle w:val="VerbatimChar"/>
        </w:rPr>
        <w:t xml:space="preserve">get_shadow_report</w:t>
      </w:r>
      <w:r>
        <w:t xml:space="preserve"> </w:t>
      </w:r>
      <w:r>
        <w:t xml:space="preserve">MCP server) is rejected together with its mechanism — building a Gin server to serve reports about a shadow environment we don't have would be infrastructure theater.</w:t>
      </w:r>
    </w:p>
    <w:p>
      <w:pPr>
        <w:pStyle w:val="BodyText"/>
      </w:pPr>
      <w:r>
        <w:rPr>
          <w:b/>
          <w:bCs/>
        </w:rPr>
        <w:t xml:space="preserve">Accuracy vs material #1 (~2/3 accurate, ~1/3 confabulated):</w:t>
      </w:r>
      <w:r>
        <w:t xml:space="preserve"> </w:t>
      </w:r>
      <w:r>
        <w:t xml:space="preserve">material #2 scores</w:t>
      </w:r>
      <w:r>
        <w:t xml:space="preserve"> </w:t>
      </w:r>
      <w:r>
        <w:rPr>
          <w:b/>
          <w:bCs/>
        </w:rPr>
        <w:t xml:space="preserve">better on artifact existence</w:t>
      </w:r>
      <w:r>
        <w:t xml:space="preserve"> </w:t>
      </w:r>
      <w:r>
        <w:t xml:space="preserve">(9 of 11 named artifacts exist — see §8 tally) but</w:t>
      </w:r>
      <w:r>
        <w:t xml:space="preserve"> </w:t>
      </w:r>
      <w:r>
        <w:rPr>
          <w:b/>
          <w:bCs/>
        </w:rPr>
        <w:t xml:space="preserve">the same or worse on load-bearing mechanism</w:t>
      </w:r>
      <w:r>
        <w:t xml:space="preserve"> </w:t>
      </w:r>
      <w:r>
        <w:t xml:space="preserve">— the glue that would make anything actually fire (the hook wiring, the 100% threshold, the &gt;90% effect size, the "cannot produce a false green" guarantee) is where it confabulates, and those are precisely the parts an adopter would trust without testing. Net:</w:t>
      </w:r>
      <w:r>
        <w:t xml:space="preserve"> </w:t>
      </w:r>
      <w:r>
        <w:rPr>
          <w:b/>
          <w:bCs/>
        </w:rPr>
        <w:t xml:space="preserve">≈70% named-artifact accuracy, ≈40% mechanism accuracy.</w:t>
      </w:r>
      <w:r>
        <w:t xml:space="preserve"> </w:t>
      </w:r>
      <w:r>
        <w:t xml:space="preserve">The pattern from material #1 repeats exactly: real tools, fabricated integration.</w:t>
      </w:r>
    </w:p>
    <w:p>
      <w:r>
        <w:pict>
          <v:rect style="width:0;height:1.5pt" o:hralign="center" o:hrstd="t" o:hr="t"/>
        </w:pict>
      </w:r>
    </w:p>
    <w:bookmarkEnd w:id="9"/>
    <w:bookmarkStart w:id="10" w:name="Xa68234aaf50cc817d9049f6e93782a08e06f9b8"/>
    <w:p>
      <w:pPr>
        <w:pStyle w:val="Heading2"/>
      </w:pPr>
      <w:r>
        <w:t xml:space="preserve">1. Method + instruments (§11.4.201(7) compliance)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verification</w:t>
      </w:r>
      <w:r>
        <w:t xml:space="preserve">: 10 web searches + 4 targeted page fetches, all access-dated</w:t>
      </w:r>
      <w:r>
        <w:t xml:space="preserve"> </w:t>
      </w:r>
      <w:r>
        <w:rPr>
          <w:b/>
          <w:bCs/>
        </w:rPr>
        <w:t xml:space="preserve">2026-07-22</w:t>
      </w:r>
      <w:r>
        <w:t xml:space="preserve"> </w:t>
      </w:r>
      <w:r>
        <w:t xml:space="preserve">(footer §10). Every existence claim below carries its check.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needles for absence claims</w:t>
      </w:r>
      <w:r>
        <w:t xml:space="preserve">: every "not found" verdict in this document was reached through a search path that returned rich results for a sibling known-present query in the same round (e.g. the round that failed to find any citation for "&gt;90% reduction in internal trials" successfully returned the SmartBear/Cisco study, the Google small-CL guidance, and Purushothaman &amp; Perry through the same instrument) — the instrument was proven able to see before any zero was read as absence.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 anywhere (known-unreliable on this host).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verification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$CLAUDE_TOOL_INPUT</w:t>
      </w:r>
      <w:r>
        <w:t xml:space="preserve"> </w:t>
      </w:r>
      <w:r>
        <w:t xml:space="preserve">verdict is NOT re-derived here — it was already proven with captured doc-fetch evidence in</w:t>
      </w:r>
      <w:r>
        <w:t xml:space="preserve"> </w:t>
      </w:r>
      <w:r>
        <w:rPr>
          <w:rStyle w:val="VerbatimChar"/>
        </w:rPr>
        <w:t xml:space="preserve">TOOLING_STACK_VERIFICATION.md</w:t>
      </w:r>
      <w:r>
        <w:t xml:space="preserve"> </w:t>
      </w:r>
      <w:r>
        <w:t xml:space="preserve">(row: "Force-push-block example using</w:t>
      </w:r>
      <w:r>
        <w:t xml:space="preserve"> </w:t>
      </w:r>
      <w:r>
        <w:rPr>
          <w:rStyle w:val="VerbatimChar"/>
        </w:rPr>
        <w:t xml:space="preserve">$CLAUDE_TOOL_INPUT</w:t>
      </w:r>
      <w:r>
        <w:t xml:space="preserve">… BROKEN AND DANGEROUS AS A PATTERN", docs fetch 2026-07-22, env-var roster</w:t>
      </w:r>
      <w:r>
        <w:t xml:space="preserve"> </w:t>
      </w:r>
      <w:r>
        <w:rPr>
          <w:rStyle w:val="VerbatimChar"/>
        </w:rPr>
        <w:t xml:space="preserve">CLAUDE_PROJECT_DIR</w:t>
      </w:r>
      <w:r>
        <w:t xml:space="preserve">/</w:t>
      </w:r>
      <w:r>
        <w:rPr>
          <w:rStyle w:val="VerbatimChar"/>
        </w:rPr>
        <w:t xml:space="preserve">CLAUDE_PLUGIN_ROOT</w:t>
      </w:r>
      <w:r>
        <w:t xml:space="preserve">/… contains no</w:t>
      </w:r>
      <w:r>
        <w:t xml:space="preserve"> </w:t>
      </w:r>
      <w:r>
        <w:rPr>
          <w:rStyle w:val="VerbatimChar"/>
        </w:rPr>
        <w:t xml:space="preserve">CLAUDE_TOOL_INPUT</w:t>
      </w:r>
      <w:r>
        <w:t xml:space="preserve">). This document cites that captured evidence rather than re-fetching.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 boundary (§11.4.6)</w:t>
      </w:r>
      <w:r>
        <w:t xml:space="preserve">: "no citation found" ≠ "no citation exists". Where this document says a quantitative claim is unverifiable, that is the earned claim; fabrication is asserted only where the claim shape (a precise effect size with no source, from a source with a proven fabrication record) makes unverifiable-as-published the operative fact either way.</w:t>
      </w:r>
    </w:p>
    <w:p>
      <w:r>
        <w:pict>
          <v:rect style="width:0;height:1.5pt" o:hralign="center" o:hrstd="t" o:hr="t"/>
        </w:pict>
      </w:r>
    </w:p>
    <w:bookmarkEnd w:id="10"/>
    <w:bookmarkStart w:id="16" w:name="Xfc4daf2362b0e0ecd2015a08300bf133ec5472f"/>
    <w:p>
      <w:pPr>
        <w:pStyle w:val="Heading2"/>
      </w:pPr>
      <w:r>
        <w:t xml:space="preserve">2. GC-1 — Mutation Testing Gate ("kill fake tests")</w:t>
      </w:r>
    </w:p>
    <w:bookmarkStart w:id="11" w:name="X86b79ee351a0a563712ce95b0b08b1ccf9c6e3c"/>
    <w:p>
      <w:pPr>
        <w:pStyle w:val="Heading3"/>
      </w:pPr>
      <w:r>
        <w:t xml:space="preserve">2.1 Claim-by-claim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 (access 2026-07-22)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stryker-js</w:t>
            </w:r>
            <w:r>
              <w:t xml:space="preserve"> </w:t>
            </w:r>
            <w:r>
              <w:t xml:space="preserve">exists, JS/TS mutation testing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stryker-mutator.io docs fetched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thresholds { break: 100 }</w:t>
            </w:r>
            <w:r>
              <w:t xml:space="preserve"> </w:t>
            </w:r>
            <w:r>
              <w:t xml:space="preserve">config exists and fails the build below the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default is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mutation score &lt; break → exit 1</w:t>
            </w:r>
          </w:p>
        </w:tc>
        <w:tc>
          <w:tcPr/>
          <w:p>
            <w:pPr>
              <w:pStyle w:val="Compact"/>
            </w:pPr>
            <w:r>
              <w:t xml:space="preserve">StrykerJS configuration docs fetched: "mutation score &lt; break: Error! Stryker will exit with exit code 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mutmut</w:t>
            </w:r>
            <w:r>
              <w:t xml:space="preserve"> </w:t>
            </w:r>
            <w:r>
              <w:t xml:space="preserve">exists, Python mutation testing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REAL, ACTIVE</w:t>
            </w:r>
            <w:r>
              <w:t xml:space="preserve"> </w:t>
            </w:r>
            <w:r>
              <w:t xml:space="preserve">— v3.3.1 (Nov 2025), boxed/mutmut</w:t>
            </w:r>
          </w:p>
        </w:tc>
        <w:tc>
          <w:tcPr/>
          <w:p>
            <w:pPr>
              <w:pStyle w:val="Compact"/>
            </w:pPr>
            <w:r>
              <w:t xml:space="preserve">web search + readthedocs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PreToolUse hook running stryker on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t xml:space="preserve">, via</w:t>
            </w:r>
            <w:r>
              <w:t xml:space="preserve"> </w:t>
            </w:r>
            <w:r>
              <w:rPr>
                <w:rStyle w:val="VerbatimChar"/>
              </w:rPr>
              <w:t xml:space="preserve">$CLAUDE_TOOL_INPUT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BROKEN — the identical fabricated pattern from material #1.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CLAUDE_TOOL_INPUT</w:t>
            </w:r>
            <w:r>
              <w:t xml:space="preserve"> </w:t>
            </w:r>
            <w:r>
              <w:t xml:space="preserve">env var exists in the documented hook environment; the variable expands empty, the match never fires, the hook</w:t>
            </w:r>
            <w:r>
              <w:t xml:space="preserve"> </w:t>
            </w:r>
            <w:r>
              <w:rPr>
                <w:b/>
                <w:bCs/>
              </w:rPr>
              <w:t xml:space="preserve">silently never blocks</w:t>
            </w:r>
            <w:r>
              <w:t xml:space="preserve"> </w:t>
            </w:r>
            <w:r>
              <w:t xml:space="preserve">— the §11.4.201 false-negative shape, again. Concern 1 CONFIRMED.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TOOLING_STACK_VERIFICATION.md</w:t>
            </w:r>
            <w:r>
              <w:t xml:space="preserve"> </w:t>
            </w:r>
            <w:r>
              <w:t xml:space="preserve">(captured docs-fetch evidence, 2026-07-22); real hooks read stdin JSON, as our §11.4.109 guards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fix_mutants.sh</w:t>
            </w:r>
            <w:r>
              <w:t xml:space="preserve"> </w:t>
            </w:r>
            <w:r>
              <w:t xml:space="preserve">loop feeding survivors to</w:t>
            </w:r>
            <w:r>
              <w:t xml:space="preserve"> </w:t>
            </w:r>
            <w:r>
              <w:rPr>
                <w:rStyle w:val="VerbatimChar"/>
              </w:rPr>
              <w:t xml:space="preserve">claude --print</w:t>
            </w:r>
          </w:p>
        </w:tc>
        <w:tc>
          <w:tcPr/>
          <w:p>
            <w:pPr>
              <w:pStyle w:val="Compact"/>
            </w:pPr>
            <w:r>
              <w:t xml:space="preserve">Plausible to build (headless</w:t>
            </w:r>
            <w:r>
              <w:t xml:space="preserve"> </w:t>
            </w:r>
            <w:r>
              <w:rPr>
                <w:rStyle w:val="VerbatimChar"/>
              </w:rPr>
              <w:t xml:space="preserve">claude -p</w:t>
            </w:r>
            <w:r>
              <w:t xml:space="preserve"> </w:t>
            </w:r>
            <w:r>
              <w:t xml:space="preserve">is real per §11.4.187) but</w:t>
            </w:r>
            <w:r>
              <w:t xml:space="preserve"> </w:t>
            </w:r>
            <w:r>
              <w:rPr>
                <w:b/>
                <w:bCs/>
              </w:rPr>
              <w:t xml:space="preserve">no such published artifact located</w:t>
            </w:r>
            <w:r>
              <w:t xml:space="preserve">; treat as a sketch, not a citation</w:t>
            </w:r>
          </w:p>
        </w:tc>
        <w:tc>
          <w:tcPr/>
          <w:p>
            <w:pPr>
              <w:pStyle w:val="Compact"/>
            </w:pPr>
            <w:r>
              <w:t xml:space="preserve">control-needled search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"Hard rule: ZERO surviving mutants; feature not complete until 100% kill"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CONTRADICTED — see §2.2</w:t>
            </w:r>
          </w:p>
        </w:tc>
        <w:tc>
          <w:tcPr/>
          <w:p>
            <w:pPr>
              <w:pStyle w:val="Compact"/>
            </w:pPr>
            <w:r>
              <w:t xml:space="preserve">TSE'22 + equivalent-mutant problem</w:t>
            </w:r>
          </w:p>
        </w:tc>
      </w:tr>
    </w:tbl>
    <w:bookmarkEnd w:id="11"/>
    <w:bookmarkStart w:id="12" w:name="X29948d8d806311bf6266e74cd4c494a2672bff6"/>
    <w:p>
      <w:pPr>
        <w:pStyle w:val="Heading3"/>
      </w:pPr>
      <w:r>
        <w:t xml:space="preserve">2.2 Concern 2 resolved: is 100% whole-corpus kill achievable, or a gaming-inducing target?</w:t>
      </w:r>
    </w:p>
    <w:p>
      <w:pPr>
        <w:pStyle w:val="FirstParagraph"/>
      </w:pPr>
      <w:r>
        <w:rPr>
          <w:b/>
          <w:bCs/>
        </w:rPr>
        <w:t xml:space="preserve">It is unachievable in general, and the strongest industrial evidence says even attempting the whole-corpus form collapses. Three independent lines: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(the largest running mutation deployment, ~24k developers): diff-scoped at review, never whole-corpus.</w:t>
      </w:r>
      <w:r>
        <w:t xml:space="preserve"> </w:t>
      </w:r>
      <w:r>
        <w:t xml:space="preserve">Petrović, Ivanković, Fraser &amp; Just —</w:t>
      </w:r>
      <w:r>
        <w:t xml:space="preserve"> </w:t>
      </w:r>
      <w:r>
        <w:rPr>
          <w:i/>
          <w:iCs/>
        </w:rPr>
        <w:t xml:space="preserve">Practical Mutation Testing at Scale</w:t>
      </w:r>
      <w:r>
        <w:t xml:space="preserve"> </w:t>
      </w:r>
      <w:r>
        <w:t xml:space="preserve">(IEEE TSE 2022) + ICSE 2021 (already captured in</w:t>
      </w:r>
      <w:r>
        <w:t xml:space="preserve"> </w:t>
      </w:r>
      <w:r>
        <w:rPr>
          <w:rStyle w:val="VerbatimChar"/>
        </w:rPr>
        <w:t xml:space="preserve">EXTERNAL_RESEARCH.md</w:t>
      </w:r>
      <w:r>
        <w:t xml:space="preserve"> </w:t>
      </w:r>
      <w:r>
        <w:t xml:space="preserve">R1.3): whole-codebase mutation "does not scale and is not necessary"; mutation effort belongs at the</w:t>
      </w:r>
      <w:r>
        <w:t xml:space="preserve"> </w:t>
      </w:r>
      <w:r>
        <w:rPr>
          <w:b/>
          <w:bCs/>
        </w:rPr>
        <w:t xml:space="preserve">changed lines</w:t>
      </w:r>
      <w:r>
        <w:t xml:space="preserve">; unfiltered mutants produce "mutant fatigue" and get ignored. Google does not enforce a kill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at all — it surfaces</w:t>
      </w:r>
      <w:r>
        <w:t xml:space="preserve"> </w:t>
      </w:r>
      <w:r>
        <w:rPr>
          <w:i/>
          <w:iCs/>
        </w:rPr>
        <w:t xml:space="preserve">filtered, relevant</w:t>
      </w:r>
      <w:r>
        <w:t xml:space="preserve"> </w:t>
      </w:r>
      <w:r>
        <w:t xml:space="preserve">surviving mutants as review findings.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Equivalent mutants make a literal 100% floor formally unsatisfiable.</w:t>
      </w:r>
      <w:r>
        <w:t xml:space="preserve"> </w:t>
      </w:r>
      <w:r>
        <w:t xml:space="preserve">Some mutants are semantically identical to the original program (equivalence is undecidable in general); a surviving equivalent mutant can never be killed by any test. A mechanical</w:t>
      </w:r>
      <w:r>
        <w:t xml:space="preserve"> </w:t>
      </w:r>
      <w:r>
        <w:rPr>
          <w:rStyle w:val="VerbatimChar"/>
        </w:rPr>
        <w:t xml:space="preserve">break: 100</w:t>
      </w:r>
      <w:r>
        <w:t xml:space="preserve"> </w:t>
      </w:r>
      <w:r>
        <w:t xml:space="preserve">therefore terminates in one of exactly three states: (a) permanent block, (b) a human exemption channel (at which point the rule is no longer "100%, zero exceptions" — it is a triage policy, which is what we design below), or (c)</w:t>
      </w:r>
      <w:r>
        <w:t xml:space="preserve"> </w:t>
      </w:r>
      <w:r>
        <w:rPr>
          <w:b/>
          <w:bCs/>
        </w:rPr>
        <w:t xml:space="preserve">gaming</w:t>
      </w:r>
      <w:r>
        <w:t xml:space="preserve"> </w:t>
      </w:r>
      <w:r>
        <w:t xml:space="preserve">— tests written to memorize mutant-killing outputs rather than assert behaviour, the precise §11.4 metric-layer PASS-bluff that §11.4.224(C) just fenced for coverage. Tooling agrees: gremlins itself reports</w:t>
      </w:r>
      <w:r>
        <w:t xml:space="preserve"> </w:t>
      </w:r>
      <w:r>
        <w:rPr>
          <w:rStyle w:val="VerbatimChar"/>
        </w:rPr>
        <w:t xml:space="preserve">LIVED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 VIABLE</w:t>
      </w:r>
      <w:r>
        <w:t xml:space="preserve"> </w:t>
      </w:r>
      <w:r>
        <w:t xml:space="preserve">as expected, normal outcomes.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the real leverage is:</w:t>
      </w:r>
      <w:r>
        <w:t xml:space="preserve"> </w:t>
      </w:r>
      <w:r>
        <w:t xml:space="preserve">OOPSLA 2025 (R2.5) — one property-based test kills ~50× the mutants of one unit test. If the goal is kill-rate, the efficient lever is</w:t>
      </w:r>
      <w:r>
        <w:t xml:space="preserve"> </w:t>
      </w:r>
      <w:r>
        <w:rPr>
          <w:b/>
          <w:bCs/>
        </w:rPr>
        <w:t xml:space="preserve">stronger oracles</w:t>
      </w:r>
      <w:r>
        <w:t xml:space="preserve"> </w:t>
      </w:r>
      <w:r>
        <w:t xml:space="preserve">(properties, fuzz targets — see GC-2), not a numeric kill floor.</w:t>
      </w:r>
    </w:p>
    <w:p>
      <w:pPr>
        <w:pStyle w:val="FirstParagraph"/>
      </w:pPr>
      <w:r>
        <w:rPr>
          <w:b/>
          <w:bCs/>
        </w:rPr>
        <w:t xml:space="preserve">Direct consequence for us:</w:t>
      </w:r>
      <w:r>
        <w:t xml:space="preserve"> </w:t>
      </w:r>
      <w:r>
        <w:t xml:space="preserve">we just landed §11.4.224 with a ≥85% coverage floor whose gameability we had to fence at the contract layer (RED-capable-tests-only numerator, exclusion-list fence). A 100% mutation-kill floor is the same shape one level up, with a harder gaming incentive and a formally unsatisfiable target.</w:t>
      </w:r>
      <w:r>
        <w:t xml:space="preserve"> </w:t>
      </w:r>
      <w:r>
        <w:rPr>
          <w:b/>
          <w:bCs/>
        </w:rPr>
        <w:t xml:space="preserve">The material's hard rule is rejected; the mechanism is adapted as a triage-verdict gate (D1, §7.1).</w:t>
      </w:r>
    </w:p>
    <w:bookmarkEnd w:id="12"/>
    <w:bookmarkStart w:id="13" w:name="Xaa69e6b7a70c6f76f0eb1700850a767b10a7ce8"/>
    <w:p>
      <w:pPr>
        <w:pStyle w:val="Heading3"/>
      </w:pPr>
      <w:r>
        <w:t xml:space="preserve">2.3 Concern 6 resolved (mutation half): is automated mutation an upgrade over §1.1 hand-authored paired mutations?</w:t>
      </w:r>
    </w:p>
    <w:p>
      <w:pPr>
        <w:pStyle w:val="FirstParagraph"/>
      </w:pPr>
      <w:r>
        <w:rPr>
          <w:b/>
          <w:bCs/>
        </w:rPr>
        <w:t xml:space="preserve">Complement, not replacement — they catch disjoint classes: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§1.1 paired mutations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semantic</w:t>
      </w:r>
      <w:r>
        <w:t xml:space="preserve">: hand-authored to strip the exact invariant a gate claims to enforce ("the mutation IS the test-first artifact for a gate", §11.4.224(A)). No automated operator set produces "remove the control-needle check" or "flip the verdict-file polarity". Automated mutation CANNOT replace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diff-scoped mutation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broad and shallow</w:t>
      </w:r>
      <w:r>
        <w:t xml:space="preserve">: arithmetic/relational/boolean operator flips over every changed line, catching the assertion-free-test and weak-oracle classes at scale — exactly what hand-authoring cannot afford to cover across a whole diff. §1.1 CANNOT replace it either.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genuine upgrade claim is therefore TRUE but only for our Go surfaces</w:t>
      </w:r>
      <w:r>
        <w:t xml:space="preserve"> </w:t>
      </w:r>
      <w:r>
        <w:t xml:space="preserve">(workable-items engine, continuum, docs_chain, report engines — all "smallish modules", exactly gremlins' documented sweet spot), and only diff-scoped. For</w:t>
      </w:r>
      <w:r>
        <w:t xml:space="preserve"> </w:t>
      </w:r>
      <w:r>
        <w:rPr>
          <w:b/>
          <w:bCs/>
        </w:rPr>
        <w:t xml:space="preserve">bash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located mutation-testing tool of any maturity</w:t>
      </w:r>
      <w:r>
        <w:t xml:space="preserve"> </w:t>
      </w:r>
      <w:r>
        <w:t xml:space="preserve">(control-needled search round: the same instrument that returned gremlins/mutmut/stryker returned nothing bash-specific;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whether an obscure one exists) — for bash, §1.1 hand-authored mutations REMAIN the only mechanism, now backed by §11.4.224(E)'s PS4-trace coverage floor.</w:t>
      </w:r>
    </w:p>
    <w:bookmarkEnd w:id="13"/>
    <w:bookmarkStart w:id="14" w:name="X001099f16776b6c7513d5a3ae1f4269c05db93b"/>
    <w:p>
      <w:pPr>
        <w:pStyle w:val="Heading3"/>
      </w:pPr>
      <w:r>
        <w:t xml:space="preserve">2.4 Go tooling verification (the operator-mandated ecosystem check)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Status (2026-07-22)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go-gremlins/gremlins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REAL, ACTIVE</w:t>
            </w:r>
            <w:r>
              <w:t xml:space="preserve"> </w:t>
            </w:r>
            <w:r>
              <w:t xml:space="preserve">— v0.6.0 (2025-12-06), 374 stars, issues active into Jan 2026;</w:t>
            </w:r>
            <w:r>
              <w:t xml:space="preserve"> </w:t>
            </w:r>
            <w:r>
              <w:rPr>
                <w:rStyle w:val="VerbatimChar"/>
              </w:rPr>
              <w:t xml:space="preserve">gremlins unleash</w:t>
            </w:r>
            <w:r>
              <w:t xml:space="preserve">; reports RUNNABLE/NOT COVERED/KILLED/LIVED/TIMED OUT/NOT VIABLE; documented limitation: "doesn't work very well on very big Go modules — a run can take hours"; 0.x — config may change between minors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SELECTED</w:t>
            </w:r>
            <w:r>
              <w:t xml:space="preserve"> </w:t>
            </w:r>
            <w:r>
              <w:t xml:space="preserve">— our Go modules are exactly its documented sweet spot; run per-package on changed packages only, with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avito-tech/go-mutesting</w:t>
            </w:r>
            <w:r>
              <w:t xml:space="preserve"> </w:t>
            </w:r>
            <w:r>
              <w:t xml:space="preserve">(fork of zimmski/)</w:t>
            </w:r>
          </w:p>
        </w:tc>
        <w:tc>
          <w:tcPr/>
          <w:p>
            <w:pPr>
              <w:pStyle w:val="Compact"/>
            </w:pPr>
            <w:r>
              <w:t xml:space="preserve">REAL but</w:t>
            </w:r>
            <w:r>
              <w:t xml:space="preserve"> </w:t>
            </w:r>
            <w:r>
              <w:rPr>
                <w:b/>
                <w:bCs/>
              </w:rPr>
              <w:t xml:space="preserve">dormant</w:t>
            </w:r>
            <w:r>
              <w:t xml:space="preserve"> </w:t>
            </w:r>
            <w:r>
              <w:t xml:space="preserve">(inactive since late 2025; upstream zimmski has an "is go-mutesting dead?" issue #100)</w:t>
            </w:r>
          </w:p>
        </w:tc>
        <w:tc>
          <w:tcPr/>
          <w:p>
            <w:pPr>
              <w:pStyle w:val="Compact"/>
            </w:pPr>
            <w:r>
              <w:t xml:space="preserve">Rejected — maintenance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zimmski/go-mutesting</w:t>
            </w:r>
          </w:p>
        </w:tc>
        <w:tc>
          <w:tcPr/>
          <w:p>
            <w:pPr>
              <w:pStyle w:val="Compact"/>
            </w:pPr>
            <w:r>
              <w:t xml:space="preserve">Effectively unmaintained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</w:tbl>
    <w:bookmarkEnd w:id="14"/>
    <w:bookmarkStart w:id="15" w:name="Xb87b98bff58ec782318b3c42483c317141a97cf"/>
    <w:p>
      <w:pPr>
        <w:pStyle w:val="Heading3"/>
      </w:pPr>
      <w:r>
        <w:t xml:space="preserve">2.5 Verdict:</w:t>
      </w:r>
      <w:r>
        <w:t xml:space="preserve"> </w:t>
      </w:r>
      <w:r>
        <w:rPr>
          <w:b/>
          <w:bCs/>
        </w:rPr>
        <w:t xml:space="preserve">ADAPT</w:t>
      </w:r>
      <w:r>
        <w:t xml:space="preserve"> </w:t>
      </w:r>
      <w:r>
        <w:t xml:space="preserve">→ Design D1 (§7.1)</w:t>
      </w:r>
    </w:p>
    <w:p>
      <w:pPr>
        <w:pStyle w:val="FirstParagraph"/>
      </w:pPr>
      <w:r>
        <w:t xml:space="preserve">Diff-scoped, triage-verdict, Go-only, wired as a real gate (</w:t>
      </w:r>
      <w:r>
        <w:rPr>
          <w:rStyle w:val="VerbatimChar"/>
        </w:rPr>
        <w:t xml:space="preserve">CM-*</w:t>
      </w:r>
      <w:r>
        <w:t xml:space="preserve"> </w:t>
      </w:r>
      <w:r>
        <w:t xml:space="preserve">class) — never the material's silent-no-op hook, never a 100% floor.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0827e3c6798119eb716353b0b1b073d615568d2"/>
    <w:p>
      <w:pPr>
        <w:pStyle w:val="Heading2"/>
      </w:pPr>
      <w:r>
        <w:t xml:space="preserve">3. GC-2 — Adversarial "Saboteur" agent</w:t>
      </w:r>
    </w:p>
    <w:bookmarkStart w:id="17" w:name="X6b38637863a1677fecb15b8426555ab25d24ecd"/>
    <w:p>
      <w:pPr>
        <w:pStyle w:val="Heading3"/>
      </w:pPr>
      <w:r>
        <w:t xml:space="preserve">3.1 Claim-by-claim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.claude/agents/&lt;Name&gt;.md</w:t>
            </w:r>
            <w:r>
              <w:t xml:space="preserve"> </w:t>
            </w:r>
            <w:r>
              <w:t xml:space="preserve">custom-agent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(established Claude Code feature; already referenced with source evidence in</w:t>
            </w:r>
            <w:r>
              <w:t xml:space="preserve"> </w:t>
            </w:r>
            <w:r>
              <w:rPr>
                <w:rStyle w:val="VerbatimChar"/>
              </w:rPr>
              <w:t xml:space="preserve">TOOLING_STACK_VERIFICATION.md</w:t>
            </w:r>
            <w:r>
              <w:t xml:space="preserve"> </w:t>
            </w:r>
            <w:r>
              <w:t xml:space="preserve">§4)</w:t>
            </w:r>
          </w:p>
        </w:tc>
        <w:tc>
          <w:tcPr/>
          <w:p>
            <w:pPr>
              <w:pStyle w:val="Compact"/>
            </w:pPr>
            <w:r>
              <w:t xml:space="preserve">prior 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"CodeHacker framework"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REAL, CHARACTERIZATION STRETCHED</w:t>
            </w:r>
            <w:r>
              <w:t xml:space="preserve"> </w:t>
            </w:r>
            <w:r>
              <w:t xml:space="preserve">— arXiv 2602.20213: an LLM-agent generating adversarial test cases for</w:t>
            </w:r>
            <w:r>
              <w:t xml:space="preserve"> </w:t>
            </w:r>
            <w:r>
              <w:rPr>
                <w:b/>
                <w:bCs/>
              </w:rPr>
              <w:t xml:space="preserve">competitive-programming submissions</w:t>
            </w:r>
            <w:r>
              <w:t xml:space="preserve"> </w:t>
            </w:r>
            <w:r>
              <w:t xml:space="preserve">(WA/RE/TLE/MLE verdicts). It is a paper, not an installable general red-team framework for production services. Citing it as the pedigree for a production saboteur is the carrier-vs-thing pattern (§11.4.201(7)(a)).</w:t>
            </w:r>
          </w:p>
        </w:tc>
        <w:tc>
          <w:tcPr/>
          <w:p>
            <w:pPr>
              <w:pStyle w:val="Compact"/>
            </w:pPr>
            <w:r>
              <w:t xml:space="preserve">arXiv + HF paper page, 2026-07-22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adversarial_runner.py</w:t>
            </w:r>
            <w:r>
              <w:t xml:space="preserve"> </w:t>
            </w:r>
            <w:r>
              <w:t xml:space="preserve">fuzz harness</w:t>
            </w:r>
          </w:p>
        </w:tc>
        <w:tc>
          <w:tcPr/>
          <w:p>
            <w:pPr>
              <w:pStyle w:val="Compact"/>
            </w:pPr>
            <w:r>
              <w:t xml:space="preserve">No published artifact located (control-needled); reference sketch only</w:t>
            </w:r>
          </w:p>
        </w:tc>
        <w:tc>
          <w:tcPr/>
          <w:p>
            <w:pPr>
              <w:pStyle w:val="Compact"/>
            </w:pPr>
            <w:r>
              <w:t xml:space="preserve">search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"Gate: 100+ disruptive cases with no crash"</w:t>
            </w:r>
          </w:p>
        </w:tc>
        <w:tc>
          <w:tcPr/>
          <w:p>
            <w:pPr>
              <w:pStyle w:val="Compact"/>
            </w:pPr>
            <w:r>
              <w:t xml:space="preserve">Reasonable</w:t>
            </w:r>
            <w:r>
              <w:t xml:space="preserve"> </w:t>
            </w:r>
            <w:r>
              <w:rPr>
                <w:i/>
                <w:iCs/>
              </w:rPr>
              <w:t xml:space="preserve">budget</w:t>
            </w:r>
            <w:r>
              <w:t xml:space="preserve"> </w:t>
            </w:r>
            <w:r>
              <w:t xml:space="preserve">shape — converges with §11.4.85's closed-set stress floor (N ≥ 100 iterations) which we already mandate</w:t>
            </w:r>
          </w:p>
        </w:tc>
        <w:tc>
          <w:tcPr/>
          <w:p>
            <w:pPr>
              <w:pStyle w:val="Compact"/>
            </w:pPr>
            <w:r>
              <w:t xml:space="preserve">§11.4.85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"The Saboteur has FAILED if it finds 0 failures ('try harder')"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as a hard rule</w:t>
            </w:r>
            <w:r>
              <w:t xml:space="preserve"> </w:t>
            </w:r>
            <w:r>
              <w:t xml:space="preserve">— on genuinely robust code this mandates either an infinite loop or a fabricated finding; it is a §11.4.201(1) FAIL-bluff engine by construction (a false-positive refusal machine). The honest form is an</w:t>
            </w:r>
            <w:r>
              <w:t xml:space="preserve"> </w:t>
            </w:r>
            <w:r>
              <w:rPr>
                <w:b/>
                <w:bCs/>
              </w:rPr>
              <w:t xml:space="preserve">evidence budget</w:t>
            </w:r>
            <w:r>
              <w:t xml:space="preserve">: N cases across the closed chaos classes, executed and captured, verdict from evidence — which is exactly §11.4.85 + §11.4.118 discovery-pressure + SOL-09 detection-pressure. Zero findings after a proven-executed budget is a legitimate PASS with enumerated coverage (§11.4.118: "here is the enumerated set we exercised").</w:t>
            </w:r>
          </w:p>
        </w:tc>
        <w:tc>
          <w:tcPr/>
          <w:p>
            <w:pPr>
              <w:pStyle w:val="Compact"/>
            </w:pPr>
            <w:r>
              <w:t xml:space="preserve">§11.4.201(1), §11.4.85, §11.4.118</w:t>
            </w:r>
          </w:p>
        </w:tc>
      </w:tr>
    </w:tbl>
    <w:bookmarkEnd w:id="17"/>
    <w:bookmarkStart w:id="18" w:name="X0c19f9e6e096e4a9ff2c2f7d37ba4b96a716921"/>
    <w:p>
      <w:pPr>
        <w:pStyle w:val="Heading3"/>
      </w:pPr>
      <w:r>
        <w:t xml:space="preserve">3.2 Concern 6 resolved (adversarial half): does it BIND where §11.4.85 prescribes?</w:t>
      </w:r>
    </w:p>
    <w:p>
      <w:pPr>
        <w:pStyle w:val="FirstParagraph"/>
      </w:pPr>
      <w:r>
        <w:t xml:space="preserve">This is the decisive finding of the whole analysis. §11.4.85 prescribes stress+chaos in prose + per-fix suites; BG-TOOLING-VERIFY found our only two unoccupied seams are</w:t>
      </w:r>
      <w:r>
        <w:t xml:space="preserve"> </w:t>
      </w:r>
      <w:r>
        <w:rPr>
          <w:b/>
          <w:bCs/>
        </w:rPr>
        <w:t xml:space="preserve">PostToolUse detective hooks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Stop-seam completion gate</w:t>
      </w:r>
      <w:r>
        <w:t xml:space="preserve">. The material's saboteur, as written (an agent role invoked "before done"), is</w:t>
      </w:r>
      <w:r>
        <w:t xml:space="preserve"> </w:t>
      </w:r>
      <w:r>
        <w:rPr>
          <w:i/>
          <w:iCs/>
        </w:rPr>
        <w:t xml:space="preserve">prose-adjacent</w:t>
      </w:r>
      <w:r>
        <w:t xml:space="preserve"> </w:t>
      </w:r>
      <w:r>
        <w:t xml:space="preserve">— nothing forces it to run. Two mechanisms make adversarial pressure actually bind: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 native fuzzing's corpus replay — the strongest binding available, and the material never mentions it.</w:t>
      </w:r>
      <w:r>
        <w:t xml:space="preserve"> </w:t>
      </w:r>
      <w:r>
        <w:t xml:space="preserve">Go fuzzing (</w:t>
      </w:r>
      <w:r>
        <w:rPr>
          <w:rStyle w:val="VerbatimChar"/>
        </w:rPr>
        <w:t xml:space="preserve">testing.F</w:t>
      </w:r>
      <w:r>
        <w:t xml:space="preserve">, coverage-guided, first-class since Go 1.18 — verified via go.dev/doc/security/fuzz, 2026-07-22) has the property that</w:t>
      </w:r>
      <w:r>
        <w:t xml:space="preserve"> </w:t>
      </w:r>
      <w:r>
        <w:rPr>
          <w:b/>
          <w:bCs/>
        </w:rPr>
        <w:t xml:space="preserve">every crasher found is minimized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testdata/fuzz/&lt;FuzzTarget&gt;/</w:t>
      </w:r>
      <w:r>
        <w:rPr>
          <w:b/>
          <w:bCs/>
        </w:rPr>
        <w:t xml:space="preserve"> </w:t>
      </w:r>
      <w:r>
        <w:rPr>
          <w:b/>
          <w:bCs/>
        </w:rPr>
        <w:t xml:space="preserve">and replays as a plain test case in every ordinary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test</w:t>
      </w:r>
      <w:r>
        <w:rPr>
          <w:b/>
          <w:bCs/>
        </w:rPr>
        <w:t xml:space="preserve"> </w:t>
      </w:r>
      <w:r>
        <w:rPr>
          <w:b/>
          <w:bCs/>
        </w:rPr>
        <w:t xml:space="preserve">run forever</w:t>
      </w:r>
      <w:r>
        <w:t xml:space="preserve"> </w:t>
      </w:r>
      <w:r>
        <w:t xml:space="preserve">— no flags, no fuzz mode, no orchestration. A found failure becomes a permanent §11.4.135-class regression guard</w:t>
      </w:r>
      <w:r>
        <w:t xml:space="preserve"> </w:t>
      </w:r>
      <w:r>
        <w:rPr>
          <w:i/>
          <w:iCs/>
        </w:rPr>
        <w:t xml:space="preserve">mechanically, at zero marginal machinery</w:t>
      </w:r>
      <w:r>
        <w:t xml:space="preserve">. This is a seam-binding our hand-authored §11.4.85 suites do not have. The SQLite fact already in our research (R4:</w:t>
      </w:r>
      <w:r>
        <w:t xml:space="preserve"> </w:t>
      </w:r>
      <w:r>
        <w:rPr>
          <w:b/>
          <w:bCs/>
        </w:rPr>
        <w:t xml:space="preserve">22 AFL-findable crashers at 100% MC/DC coverage</w:t>
      </w:r>
      <w:r>
        <w:t xml:space="preserve">) is the quantitative proof fuzzing finds what coverage-complete suites structurally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Verdict-file consumption at the Stop/release seam.</w:t>
      </w:r>
      <w:r>
        <w:t xml:space="preserve"> </w:t>
      </w:r>
      <w:r>
        <w:t xml:space="preserve">A saboteur/fuzz run that writes a machine-readable verdict (cases run, classes exercised, findings, evidence paths) into the SOL-01/SOL-02 verdict store gives the Stop-seam completion gate (the fablize-referenced design in</w:t>
      </w:r>
      <w:r>
        <w:t xml:space="preserve"> </w:t>
      </w:r>
      <w:r>
        <w:rPr>
          <w:rStyle w:val="VerbatimChar"/>
        </w:rPr>
        <w:t xml:space="preserve">TOOLING_STACK_VERIFICATION.md</w:t>
      </w:r>
      <w:r>
        <w:t xml:space="preserve"> </w:t>
      </w:r>
      <w:r>
        <w:t xml:space="preserve">§6) something to refuse on. An agent whose output is prose binds nothing; an agent whose output is a verdict file consumed by a refusing seam binds.</w:t>
      </w:r>
    </w:p>
    <w:bookmarkEnd w:id="18"/>
    <w:bookmarkStart w:id="19" w:name="Xdc22f86637fd027ab429fe9a055e79e55775fed"/>
    <w:p>
      <w:pPr>
        <w:pStyle w:val="Heading3"/>
      </w:pPr>
      <w:r>
        <w:t xml:space="preserve">3.3 Verdict:</w:t>
      </w:r>
      <w:r>
        <w:t xml:space="preserve"> </w:t>
      </w:r>
      <w:r>
        <w:rPr>
          <w:b/>
          <w:bCs/>
        </w:rPr>
        <w:t xml:space="preserve">ADAPT</w:t>
      </w:r>
      <w:r>
        <w:t xml:space="preserve"> </w:t>
      </w:r>
      <w:r>
        <w:t xml:space="preserve">→ Designs D2 (Go fuzz work-class + bounded fuzz gate, §7.2) and D2b (saboteur-as-review-role with evidence-budget verdict, §7.2)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ba404392b7cb1addd46d358ebec22040ace617f"/>
    <w:p>
      <w:pPr>
        <w:pStyle w:val="Heading2"/>
      </w:pPr>
      <w:r>
        <w:t xml:space="preserve">4. GC-3 — Semantic contract checking via vector RAG ("Achilles heel scan")</w:t>
      </w:r>
    </w:p>
    <w:bookmarkStart w:id="21" w:name="X784a85249bbd68763fa52b4f0967759c00e72b8"/>
    <w:p>
      <w:pPr>
        <w:pStyle w:val="Heading3"/>
      </w:pPr>
      <w:r>
        <w:t xml:space="preserve">4.1 Claim-by-claim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all-MiniLM-L6-v2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chromadb defaults to all-MiniLM-L6-v2 (384-dim) via sentence-transformers</w:t>
            </w:r>
          </w:p>
        </w:tc>
        <w:tc>
          <w:tcPr/>
          <w:p>
            <w:pPr>
              <w:pStyle w:val="Compact"/>
            </w:pPr>
            <w:r>
              <w:t xml:space="preserve">web search 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"block if cosine similarity &gt; 0.85 (elsewhere: distance &lt; 0.3)"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INTERNALLY INCONSISTENT</w:t>
            </w:r>
            <w:r>
              <w:t xml:space="preserve"> </w:t>
            </w:r>
            <w:r>
              <w:t xml:space="preserve">— for cosine metrics, similarity 0.85 ≡ distance 0.15, not 0.3; the two statements of the same threshold disagree by 2×. No calibration procedure, no corpus, no FP/FN characterization given anywhere. Magic numbers presented as law.</w:t>
            </w:r>
          </w:p>
        </w:tc>
        <w:tc>
          <w:tcPr/>
          <w:p>
            <w:pPr>
              <w:pStyle w:val="Compact"/>
            </w:pPr>
            <w:r>
              <w:t xml:space="preserve">arithmetic; input doc lines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archgate</w:t>
            </w:r>
            <w:r>
              <w:t xml:space="preserve"> </w:t>
            </w:r>
            <w:r>
              <w:t xml:space="preserve">"(dotnet tool)"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TOOL, DOUBLY MISCHARACTERIZED</w:t>
            </w:r>
            <w:r>
              <w:t xml:space="preserve"> </w:t>
            </w:r>
            <w:r>
              <w:t xml:space="preserve">— archgate.dev / github.com/archgate/cli exists (v0.50.0, 2026-07-17, 55 stars, Apache-2.0, OpenSSF badge): it enforces ADRs as</w:t>
            </w:r>
            <w:r>
              <w:t xml:space="preserve"> </w:t>
            </w:r>
            <w:r>
              <w:rPr>
                <w:b/>
                <w:bCs/>
              </w:rPr>
              <w:t xml:space="preserve">deterministic executable rules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.rules.ts</w:t>
            </w:r>
            <w:r>
              <w:t xml:space="preserve"> </w:t>
            </w:r>
            <w:r>
              <w:t xml:space="preserve">companion files reporting file+line+violated-ADR), implemented in TypeScript, installable via npm/pip/dotnet/go/gem among others. So: (a) "dotnet tool" is at best one of eight install channels, not what it is; (b) far more damning,</w:t>
            </w:r>
            <w:r>
              <w:t xml:space="preserve"> </w:t>
            </w:r>
            <w:r>
              <w:rPr>
                <w:b/>
                <w:bCs/>
              </w:rPr>
              <w:t xml:space="preserve">the material cites a deterministic-rules tool as support for an embedding-similarity mechanism the tool does not use</w:t>
            </w:r>
            <w:r>
              <w:t xml:space="preserve"> </w:t>
            </w:r>
            <w:r>
              <w:t xml:space="preserve">— the material's own best citation refutes its own mechanism.</w:t>
            </w:r>
          </w:p>
        </w:tc>
        <w:tc>
          <w:tcPr/>
          <w:p>
            <w:pPr>
              <w:pStyle w:val="Compact"/>
            </w:pPr>
            <w:r>
              <w:t xml:space="preserve">GitHub fetch 2026-07-22</w:t>
            </w:r>
          </w:p>
        </w:tc>
      </w:tr>
    </w:tbl>
    <w:bookmarkEnd w:id="21"/>
    <w:bookmarkStart w:id="22" w:name="X76a7559c41189c95eede2af660614d546c211d9"/>
    <w:p>
      <w:pPr>
        <w:pStyle w:val="Heading3"/>
      </w:pPr>
      <w:r>
        <w:t xml:space="preserve">4.2 Concern 3 resolved: can a cosine-similarity blocking gate be made trustworthy?</w:t>
      </w:r>
    </w:p>
    <w:p>
      <w:pPr>
        <w:pStyle w:val="FirstParagraph"/>
      </w:pPr>
      <w:r>
        <w:rPr>
          <w:b/>
          <w:bCs/>
        </w:rPr>
        <w:t xml:space="preserve">No — for reasons that are structural, not tuning problems: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False-positive economics.</w:t>
      </w:r>
      <w:r>
        <w:t xml:space="preserve"> </w:t>
      </w:r>
      <w:r>
        <w:t xml:space="preserve">Our Phase 2 evidence: 90% override rates on mis-calibrated alert fleets (R6.3); Google's operational doctrine that review-blocking checks must stay under ~10%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false positives or developers delete the check's authority (CACM 2018, R5.2). An uncalibrated similarity threshold over embeddings of code-vs-ADR-prose starts far above that bar. A gate that misfires spends its trust budget and then binds nothing — worse than absent, because it teaches bypass.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Similarity is not entailment.</w:t>
      </w:r>
      <w:r>
        <w:t xml:space="preserve"> </w:t>
      </w:r>
      <w:r>
        <w:t xml:space="preserve">High cosine similarity between new code and an anti-pattern document proves topical proximity, not violation — the code</w:t>
      </w:r>
      <w:r>
        <w:t xml:space="preserve"> </w:t>
      </w:r>
      <w:r>
        <w:rPr>
          <w:i/>
          <w:iCs/>
        </w:rPr>
        <w:t xml:space="preserve">fixing</w:t>
      </w:r>
      <w:r>
        <w:t xml:space="preserve"> </w:t>
      </w:r>
      <w:r>
        <w:t xml:space="preserve">an anti-pattern embeds close to the anti-pattern's description. Both error directions are intrinsic, not tunable away.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Non-determinism (§11.4.50).</w:t>
      </w:r>
      <w:r>
        <w:t xml:space="preserve"> </w:t>
      </w:r>
      <w:r>
        <w:t xml:space="preserve">The verdict changes when the embedding model changes (model updates, quantization, hardware). A gate whose PASS/FAIL flips on identical input across runs violates deterministic-consistency and can never carry a §1.1 mutation pair honestly.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§11.4.201(1)</w:t>
      </w:r>
      <w:r>
        <w:t xml:space="preserve">: a false-positive refusal is a FAIL-bluff. A mechanism whose false positives are structural is a FAIL-bluff</w:t>
      </w:r>
      <w:r>
        <w:t xml:space="preserve"> </w:t>
      </w:r>
      <w:r>
        <w:rPr>
          <w:i/>
          <w:iCs/>
        </w:rPr>
        <w:t xml:space="preserve">engine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Where the retrieval idea IS legitimate: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advisory context injection</w:t>
      </w:r>
      <w:r>
        <w:t xml:space="preserve"> </w:t>
      </w:r>
      <w:r>
        <w:t xml:space="preserve">— retrieving relevant ADRs into the review/authoring context (what archgate's "briefings" actually do, and what our CodeGraph mandates §11.4.78/79 already cover). Advisory retrieval + deterministic gate is the honest split.</w:t>
      </w:r>
    </w:p>
    <w:bookmarkEnd w:id="22"/>
    <w:bookmarkStart w:id="23" w:name="Xc731e41dc854123a10a7b726f12b163f5ddfea2"/>
    <w:p>
      <w:pPr>
        <w:pStyle w:val="Heading3"/>
      </w:pPr>
      <w:r>
        <w:t xml:space="preserve">4.3 The honest replacement — deterministic architectural conformance (verified)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Status (2026-07-22)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fe3dback/go-arch-lint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REAL, ACTIVE</w:t>
            </w:r>
            <w:r>
              <w:t xml:space="preserve"> </w:t>
            </w:r>
            <w:r>
              <w:t xml:space="preserve">— YAML component/dependency rules over the Go import graph; exit 0 clean / 1 on violation; Docker image; CI-ready; hexagonal/onion/DDD 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SELECTED</w:t>
            </w:r>
            <w:r>
              <w:t xml:space="preserve"> </w:t>
            </w:r>
            <w:r>
              <w:t xml:space="preserve">for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ArchUnit / ArchUnitNET</w:t>
            </w:r>
          </w:p>
        </w:tc>
        <w:tc>
          <w:tcPr/>
          <w:p>
            <w:pPr>
              <w:pStyle w:val="Compact"/>
            </w:pPr>
            <w:r>
              <w:t xml:space="preserve">REAL (Java/.NET lineage — prior art for the pattern)</w:t>
            </w:r>
          </w:p>
        </w:tc>
        <w:tc>
          <w:tcPr/>
          <w:p>
            <w:pPr>
              <w:pStyle w:val="Compact"/>
            </w:pPr>
            <w:r>
              <w:t xml:space="preserve">Not our stack; cited as pedigree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dependency-cruiser</w:t>
            </w:r>
          </w:p>
        </w:tc>
        <w:tc>
          <w:tcPr/>
          <w:p>
            <w:pPr>
              <w:pStyle w:val="Compact"/>
            </w:pPr>
            <w:r>
              <w:t xml:space="preserve">REAL (JS import rules — same pattern)</w:t>
            </w:r>
          </w:p>
        </w:tc>
        <w:tc>
          <w:tcPr/>
          <w:p>
            <w:pPr>
              <w:pStyle w:val="Compact"/>
            </w:pPr>
            <w:r>
              <w:t xml:space="preserve">Not our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archgate/cli</w:t>
            </w:r>
          </w:p>
        </w:tc>
        <w:tc>
          <w:tcPr/>
          <w:p>
            <w:pPr>
              <w:pStyle w:val="Compact"/>
            </w:pPr>
            <w:r>
              <w:t xml:space="preserve">REAL, deterministic ADR rules, but TypeScript rule files — adopting it would put our rule logic in TS against the bash/Go constraint</w:t>
            </w:r>
          </w:p>
        </w:tc>
        <w:tc>
          <w:tcPr/>
          <w:p>
            <w:pPr>
              <w:pStyle w:val="Compact"/>
            </w:pPr>
            <w:r>
              <w:t xml:space="preserve">Assessed as prior art; concept (ADR → executable rule) is already our CM-gate + §1.1 pattern</w:t>
            </w:r>
          </w:p>
        </w:tc>
      </w:tr>
    </w:tbl>
    <w:bookmarkEnd w:id="23"/>
    <w:bookmarkStart w:id="24" w:name="X64763d3f0a4092704ddb217ca0b87a7aef46c6e"/>
    <w:p>
      <w:pPr>
        <w:pStyle w:val="Heading3"/>
      </w:pPr>
      <w:r>
        <w:t xml:space="preserve">4.4 Verdict:</w:t>
      </w:r>
      <w:r>
        <w:t xml:space="preserve"> </w:t>
      </w:r>
      <w:r>
        <w:rPr>
          <w:b/>
          <w:bCs/>
        </w:rPr>
        <w:t xml:space="preserve">REJECT mechanism / ADAPT goal</w:t>
      </w:r>
      <w:r>
        <w:t xml:space="preserve"> </w:t>
      </w:r>
      <w:r>
        <w:t xml:space="preserve">→ Design D3 (§7.3)</w:t>
      </w:r>
    </w:p>
    <w:p>
      <w:pPr>
        <w:pStyle w:val="FirstParagraph"/>
      </w:pPr>
      <w:r>
        <w:t xml:space="preserve">What D3 still does NOT catch (honest boundary): semantic contract violations not expressible as import/dependency/structure rules — wrong locking order, misused API sequencing, violated timing contracts. Those remain the §11.4.194 exhaustive-review's job and partially GC-2's fuzz targets. No mechanical gate closes that class; claiming otherwise would be the material's own overreach.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73c2e62061abfba497305cf981c8ae20cd2bcce"/>
    <w:p>
      <w:pPr>
        <w:pStyle w:val="Heading2"/>
      </w:pPr>
      <w:r>
        <w:t xml:space="preserve">5. GC-4 — Progressive Atomic Delivery ("Zeno compiler", 50-line units)</w:t>
      </w:r>
    </w:p>
    <w:bookmarkStart w:id="26" w:name="Xf774dd671585e1d64213f1af5e22ccbae5f0d2f"/>
    <w:p>
      <w:pPr>
        <w:pStyle w:val="Heading3"/>
      </w:pPr>
      <w:r>
        <w:t xml:space="preserve">5.1 Concern 4 resolved: what does the change-size literature actually support?</w:t>
      </w:r>
    </w:p>
    <w:p>
      <w:pPr>
        <w:pStyle w:val="FirstParagraph"/>
      </w:pPr>
      <w:r>
        <w:rPr>
          <w:b/>
          <w:bCs/>
        </w:rPr>
        <w:t xml:space="preserve">Verified findings (all access 2026-07-22):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SmartBear/Cisco (2,500 reviews, 3.2 MLOC, 50 developers)</w:t>
      </w:r>
      <w:r>
        <w:t xml:space="preserve"> </w:t>
      </w:r>
      <w:r>
        <w:t xml:space="preserve">— the real numbers are</w:t>
      </w:r>
      <w:r>
        <w:t xml:space="preserve"> </w:t>
      </w:r>
      <w:r>
        <w:rPr>
          <w:b/>
          <w:bCs/>
        </w:rPr>
        <w:t xml:space="preserve">200–400 LOC per review</w:t>
      </w:r>
      <w:r>
        <w:t xml:space="preserve"> </w:t>
      </w:r>
      <w:r>
        <w:t xml:space="preserve">for 70–90% defect discovery, with detection collapsing beyond ~400 LOC and above ~450–500 LOC/hour review speed. This is a</w:t>
      </w:r>
      <w:r>
        <w:t xml:space="preserve"> </w:t>
      </w:r>
      <w:r>
        <w:rPr>
          <w:b/>
          <w:bCs/>
        </w:rPr>
        <w:t xml:space="preserve">review-batch-size</w:t>
      </w:r>
      <w:r>
        <w:t xml:space="preserve"> </w:t>
      </w:r>
      <w:r>
        <w:t xml:space="preserve">finding, not an implementation-unit-size law. Known caveats we must carry: observational study by a review-tool vendor; the inverse defect-density-vs-size curve is partly a denominator artifact (defects/kLOC mechanically falls as kLOC grows); 61% of reviews found zero defects.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eng-practices (small CLs)</w:t>
      </w:r>
      <w:r>
        <w:t xml:space="preserve"> </w:t>
      </w:r>
      <w:r>
        <w:t xml:space="preserve">— "100 lines is usually a reasonable size for a CL, and 1000 lines is usually too large"; file count matters;</w:t>
      </w:r>
      <w:r>
        <w:t xml:space="preserve"> </w:t>
      </w:r>
      <w:r>
        <w:rPr>
          <w:b/>
          <w:bCs/>
        </w:rPr>
        <w:t xml:space="preserve">explicit carve-outs where large is fine</w:t>
      </w:r>
      <w:r>
        <w:t xml:space="preserve">: deletions, trusted-tool automated refactors. Guidance, explicitly not a hard gate.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Purushothaman &amp; Perry (IEEE TSE 2005)</w:t>
      </w:r>
      <w:r>
        <w:t xml:space="preserve"> </w:t>
      </w:r>
      <w:r>
        <w:t xml:space="preserve">— even</w:t>
      </w:r>
      <w:r>
        <w:t xml:space="preserve"> </w:t>
      </w:r>
      <w:r>
        <w:rPr>
          <w:b/>
          <w:bCs/>
        </w:rPr>
        <w:t xml:space="preserve">one-line changes carry ~4% error probability</w:t>
      </w:r>
      <w:r>
        <w:t xml:space="preserve">; ~10% of maintenance changes are one-liners. Small ≠ safe; the risk floor never reaches zero, which alone falsifies "atomic units ⇒ cuts false success by &gt;90%" as a mechanism (the units still fail at a base rate).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"50-line" number</w:t>
      </w:r>
      <w:r>
        <w:t xml:space="preserve">:</w:t>
      </w:r>
      <w:r>
        <w:t xml:space="preserve"> </w:t>
      </w:r>
      <w:r>
        <w:rPr>
          <w:b/>
          <w:bCs/>
        </w:rPr>
        <w:t xml:space="preserve">no located source</w:t>
      </w:r>
      <w:r>
        <w:t xml:space="preserve"> </w:t>
      </w:r>
      <w:r>
        <w:t xml:space="preserve">(control-needled — the same searches returned the three studies above). It sits 4–8× below the evidenced review-effectiveness band. Invented precision.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"&gt;90% reduction in false success in internal trials"</w:t>
      </w:r>
      <w:r>
        <w:t xml:space="preserve">:</w:t>
      </w:r>
      <w:r>
        <w:t xml:space="preserve"> </w:t>
      </w:r>
      <w:r>
        <w:rPr>
          <w:b/>
          <w:bCs/>
        </w:rPr>
        <w:t xml:space="preserve">no citation given, none located.</w:t>
      </w:r>
      <w:r>
        <w:t xml:space="preserve"> </w:t>
      </w:r>
      <w:r>
        <w:t xml:space="preserve">From a source with a proven fabrication record, an exact effect size with no methodology is treated as unverifiable-marketing; it is not evidence.</w:t>
      </w:r>
    </w:p>
    <w:bookmarkEnd w:id="26"/>
    <w:bookmarkStart w:id="27" w:name="Xfec8532b7420b242bc75771e17593b932bd3181"/>
    <w:p>
      <w:pPr>
        <w:pStyle w:val="Heading3"/>
      </w:pPr>
      <w:r>
        <w:t xml:space="preserve">5.2 Where hard small-diff mandates actively harm (the operator asked for this explicitly)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Atomicity inversion:</w:t>
      </w:r>
      <w:r>
        <w:t xml:space="preserve"> </w:t>
      </w:r>
      <w:r>
        <w:t xml:space="preserve">a coherent cross-cutting change (schema + all call sites; an interface change + implementors) split to fit a 50-line cap produces intermediate states that do not compile or do not pass — directly contradicting the material's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"each unit must compile in isolation and pass tests in a clean sandbox". The two rules in GC-4 are mutually inconsistent for exactly the changes that matter most.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 fragmentation at review:</w:t>
      </w:r>
      <w:r>
        <w:t xml:space="preserve"> </w:t>
      </w:r>
      <w:r>
        <w:t xml:space="preserve">reviewers of fragment N lack the design context of fragments N+1..M (Google's own "the reviewer often has no context" cuts both ways); semantically-coupled fragments reviewed in isolation hide interaction defects — the §11.4.194 multi-factor class.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Gaming channel:</w:t>
      </w:r>
      <w:r>
        <w:t xml:space="preserve"> </w:t>
      </w:r>
      <w:r>
        <w:t xml:space="preserve">a hard cap incentivizes reclassifying code as "generated", splitting tests from the code they test, or landing scaffolding-then-behaviour sequences where every fragment is individually plausible and the composite is never reviewed as a whole.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Project reality collision:</w:t>
      </w:r>
      <w:r>
        <w:t xml:space="preserve"> </w:t>
      </w:r>
      <w:r>
        <w:t xml:space="preserve">§11.4.9 deliberately BATCHES source fixes before rebuild because rebuild latency (5–7 h containerized AOSP) dominates; a session-halting per-50-lines gate would serialize operator time onto rebuild latency — the exact anti-pattern §11.4.9 exists to prevent. And "block commits &gt;5 files / &gt;50 lines per file" would have blocked essentially every legitimate landing in this repository's history, including the governance commits that created the anti-bluff regime itself.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"one real CRUD against a live staging DB via MCP" clause</w:t>
      </w:r>
      <w:r>
        <w:t xml:space="preserve"> </w:t>
      </w:r>
      <w:r>
        <w:t xml:space="preserve">transfers only to service backends; for firmware work-classes the analogous obligation already exists as §11.4.108's runtime-signature-on-clean-target — stricter than the material's version.</w:t>
      </w:r>
    </w:p>
    <w:bookmarkEnd w:id="27"/>
    <w:bookmarkStart w:id="28" w:name="Xc88ab1df56ab9fc80fae1bf80e27526c4ab4a55"/>
    <w:p>
      <w:pPr>
        <w:pStyle w:val="Heading3"/>
      </w:pPr>
      <w:r>
        <w:t xml:space="preserve">5.3 Verdict:</w:t>
      </w:r>
      <w:r>
        <w:t xml:space="preserve"> </w:t>
      </w:r>
      <w:r>
        <w:rPr>
          <w:b/>
          <w:bCs/>
        </w:rPr>
        <w:t xml:space="preserve">ADAPT advisory / REJECT hard gate</w:t>
      </w:r>
      <w:r>
        <w:t xml:space="preserve"> </w:t>
      </w:r>
      <w:r>
        <w:t xml:space="preserve">→ Design D4 (§7.4)</w:t>
      </w:r>
    </w:p>
    <w:p>
      <w:pPr>
        <w:pStyle w:val="FirstParagraph"/>
      </w:pPr>
      <w:r>
        <w:t xml:space="preserve">The evidenced discipline (keep</w:t>
      </w:r>
      <w:r>
        <w:t xml:space="preserve"> </w:t>
      </w:r>
      <w:r>
        <w:rPr>
          <w:i/>
          <w:iCs/>
        </w:rPr>
        <w:t xml:space="preserve">review units</w:t>
      </w:r>
      <w:r>
        <w:t xml:space="preserve"> </w:t>
      </w:r>
      <w:r>
        <w:t xml:space="preserve">in the 100–400 LOC band; flag oversized diffs for extra review depth; never block) lands as an advisory annotator in the §11.4.125/142 review dispatch. A hard gate at 50 lines would be a §11.4.201(1) false-refusal machine with a gaming channel, and is rejected with the same reasoning §11.4.224(E) used to fence the coverage floor.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b9f124728ad43e34ffe847fda12d22b4596692f"/>
    <w:p>
      <w:pPr>
        <w:pStyle w:val="Heading2"/>
      </w:pPr>
      <w:r>
        <w:t xml:space="preserve">6. GC-5 — Live telemetry shadowing → the firmware question</w:t>
      </w:r>
    </w:p>
    <w:bookmarkStart w:id="30" w:name="Xdd5dbe12ba20f8b3bd6e4cfb979e091ad021904"/>
    <w:p>
      <w:pPr>
        <w:pStyle w:val="Heading3"/>
      </w:pPr>
      <w:r>
        <w:t xml:space="preserve">6.1 Claim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Istio</w:t>
            </w:r>
            <w:r>
              <w:t xml:space="preserve"> </w:t>
            </w:r>
            <w:r>
              <w:rPr>
                <w:rStyle w:val="VerbatimChar"/>
              </w:rPr>
              <w:t xml:space="preserve">mirror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mirrorPercent</w:t>
            </w:r>
            <w:r>
              <w:t xml:space="preserve"> </w:t>
            </w:r>
            <w:r>
              <w:t xml:space="preserve">traffic mirroring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VirtualService</w:t>
            </w:r>
            <w:r>
              <w:t xml:space="preserve"> </w:t>
            </w:r>
            <w:r>
              <w:rPr>
                <w:rStyle w:val="VerbatimChar"/>
              </w:rPr>
              <w:t xml:space="preserve">mirror: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mirrorPercentage.value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mirrorPercent</w:t>
            </w:r>
            <w:r>
              <w:t xml:space="preserve"> </w:t>
            </w:r>
            <w:r>
              <w:t xml:space="preserve">spelling is the older field generation); fire-and-forget shadow copies,</w:t>
            </w:r>
            <w:r>
              <w:t xml:space="preserve"> </w:t>
            </w:r>
            <w:r>
              <w:rPr>
                <w:rStyle w:val="VerbatimChar"/>
              </w:rPr>
              <w:t xml:space="preserve">-shadow</w:t>
            </w:r>
            <w:r>
              <w:t xml:space="preserve"> </w:t>
            </w:r>
            <w:r>
              <w:t xml:space="preserve">Host suffix</w:t>
            </w:r>
          </w:p>
        </w:tc>
        <w:tc>
          <w:tcPr/>
          <w:p>
            <w:pPr>
              <w:pStyle w:val="Compact"/>
            </w:pPr>
            <w:r>
              <w:t xml:space="preserve">istio.io mirroring task, 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shadow deployment, 10k requests / 24 h / &lt;0.1% deviation gate</w:t>
            </w:r>
          </w:p>
        </w:tc>
        <w:tc>
          <w:tcPr/>
          <w:p>
            <w:pPr>
              <w:pStyle w:val="Compact"/>
            </w:pPr>
            <w:r>
              <w:t xml:space="preserve">Mechanism real for HTTP services; the specific numbers are unsourced policy choices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exposing</w:t>
            </w:r>
            <w:r>
              <w:t xml:space="preserve"> </w:t>
            </w:r>
            <w:r>
              <w:rPr>
                <w:rStyle w:val="VerbatimChar"/>
              </w:rPr>
              <w:t xml:space="preserve">get_shadow_report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get_shadow_failures</w:t>
            </w:r>
          </w:p>
        </w:tc>
        <w:tc>
          <w:tcPr/>
          <w:p>
            <w:pPr>
              <w:pStyle w:val="Compact"/>
            </w:pPr>
            <w:r>
              <w:t xml:space="preserve">Buildable, no published artifact located; moot without a shadow environment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Start w:id="31" w:name="X5230a1966c0eeaa68d227cd47a9cb7498423db7"/>
    <w:p>
      <w:pPr>
        <w:pStyle w:val="Heading3"/>
      </w:pPr>
      <w:r>
        <w:t xml:space="preserve">6.2 Concern 5 resolved: does shadow validation transfer to firmware at all?</w:t>
      </w:r>
    </w:p>
    <w:p>
      <w:pPr>
        <w:pStyle w:val="FirstParagraph"/>
      </w:pPr>
      <w:r>
        <w:rPr>
          <w:b/>
          <w:bCs/>
        </w:rPr>
        <w:t xml:space="preserve">The mechanism does not transfer. A bounded piece of the principle does.</w:t>
      </w:r>
      <w:r>
        <w:t xml:space="preserve"> </w:t>
      </w:r>
      <w:r>
        <w:t xml:space="preserve">We ship firmware to physical devices; there is no production HTTP request stream to mirror, no request/response pair to diff, and no shadow environment that is not simply</w:t>
      </w:r>
      <w:r>
        <w:t xml:space="preserve"> </w:t>
      </w:r>
      <w:r>
        <w:rPr>
          <w:i/>
          <w:iCs/>
        </w:rPr>
        <w:t xml:space="preserve">another physical device</w:t>
      </w:r>
      <w:r>
        <w:t xml:space="preserve">. Forcing the Istio pattern onto this topology would produce infrastructure with no input. That is the honest "this one does not transfer" the dispatch asked for — for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the embedded industry actually does at this seam (verified practice, Memfault OTA guides + industry write-ups, 2026-07-22):</w:t>
      </w:r>
      <w:r>
        <w:t xml:space="preserve"> </w:t>
      </w:r>
      <w:r>
        <w:t xml:space="preserve">canary device cohorts (≈1% first, hardware-variant-diverse) → staged ring expansion with per-ring time+metric gates (24–72 h) → health telemetry (crash rate, connectivity, power) with halt-on-degradation → A/B slot bootloaders with confirm-or-rollback watchdogs. This is the firmware analogue of shadow validation, and it is real, mature practice — not a fantasy.</w:t>
      </w:r>
    </w:p>
    <w:p>
      <w:pPr>
        <w:pStyle w:val="BodyText"/>
      </w:pPr>
      <w:r>
        <w:rPr>
          <w:b/>
          <w:bCs/>
        </w:rPr>
        <w:t xml:space="preserve">Mapping to our topology, honestly, piece by piece: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Embedded practice</w:t>
            </w:r>
          </w:p>
        </w:tc>
        <w:tc>
          <w:tcPr/>
          <w:p>
            <w:pPr>
              <w:pStyle w:val="Compact"/>
            </w:pPr>
            <w:r>
              <w:t xml:space="preserve">Transfer verdict for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 cohort → staged rings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TRANSFERS, mostly exists already</w:t>
            </w:r>
            <w:r>
              <w:t xml:space="preserve"> </w:t>
            </w:r>
            <w:r>
              <w:t xml:space="preserve">— a 2-device fleet's canary structure is "flash D1, burn-in, then D2", which §11.4.130/§11.4.132 already order in prose. What is missing is the SEAM: nothing mechanically refuses the second flash while the first device's burn-in verdict is absent or red. Design D5 closes that.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Health-metric gates during burn-in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</w:t>
            </w:r>
            <w:r>
              <w:t xml:space="preserve"> </w:t>
            </w:r>
            <w:r>
              <w:t xml:space="preserve">— §11.4.128 always-on recording + Arvus sink probes ARE the telemetry source; D5 consumes a burn-in verdict computed from them (crash/ANR census, boot loops, audio XRUN census — signals we already capture).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slots + bootloader auto-rollback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FOR THIS TARGET</w:t>
            </w:r>
            <w:r>
              <w:t xml:space="preserve"> </w:t>
            </w:r>
            <w:r>
              <w:t xml:space="preserve">— requires bootloader participation; this project's U-Boot is a frozen A13 binary whose rebuild is a</w:t>
            </w:r>
            <w:r>
              <w:t xml:space="preserve"> </w:t>
            </w:r>
            <w:r>
              <w:rPr>
                <w:b/>
                <w:bCs/>
              </w:rPr>
              <w:t xml:space="preserve">proven brick</w:t>
            </w:r>
            <w:r>
              <w:t xml:space="preserve"> </w:t>
            </w:r>
            <w:r>
              <w:t xml:space="preserve">(project CLAUDE.md: patched A15 U-Boot MD5</w:t>
            </w:r>
            <w:r>
              <w:t xml:space="preserve"> </w:t>
            </w:r>
            <w:r>
              <w:rPr>
                <w:rStyle w:val="VerbatimChar"/>
              </w:rPr>
              <w:t xml:space="preserve">1ca759…</w:t>
            </w:r>
            <w:r>
              <w:t xml:space="preserve"> </w:t>
            </w:r>
            <w:r>
              <w:t xml:space="preserve">= bricks device; MD5-pinned loader), and §11.4.133 blocks unverifiable bootloader surgery outright.</w:t>
            </w:r>
            <w:r>
              <w:t xml:space="preserve"> </w:t>
            </w:r>
            <w:r>
              <w:rPr>
                <w:b/>
                <w:bCs/>
              </w:rPr>
              <w:t xml:space="preserve">§11.4.112(5)-bounded scope statement:</w:t>
            </w:r>
            <w:r>
              <w:t xml:space="preserve"> </w:t>
            </w:r>
            <w:r>
              <w:t xml:space="preserve">infeasible-without-accepted-brick-risk</w:t>
            </w:r>
            <w:r>
              <w:t xml:space="preserve"> </w:t>
            </w:r>
            <w:r>
              <w:rPr>
                <w:i/>
                <w:iCs/>
              </w:rPr>
              <w:t xml:space="preserve">on Orange Pi 5 Max with the frozen A13 U-Boot</w:t>
            </w:r>
            <w:r>
              <w:t xml:space="preserve">; NOT claimed impossible in general — adjacent goals not covered by this verdict: (a) the Forlinx production board (T4 domain) may ship proper A/B bootctrl and MUST be evaluated on its own evidence; (b) AOSP seamless A/B (</w:t>
            </w:r>
            <w:r>
              <w:rPr>
                <w:rStyle w:val="VerbatimChar"/>
              </w:rPr>
              <w:t xml:space="preserve">update_engine</w:t>
            </w:r>
            <w:r>
              <w:t xml:space="preserve">) is standard on targets whose bootloaders support slots. Neither neighbour inherits this rejection.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Replayed traces (the closest true analogue of "mirror real traffic")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TRANSFERS GENUINELY</w:t>
            </w:r>
            <w:r>
              <w:t xml:space="preserve"> </w:t>
            </w:r>
            <w:r>
              <w:t xml:space="preserve">— we hold §11.4.128 recorded corpora including real input sequences; replaying a recorded real-user input trace against the NEW build on the canary device, diffing the health census against the same trace's census on the previous build, is input-replay shadow validation. Composes §11.4.199 (exact-sequence) and §11.4.143 (real-user-journey). Folded into D5 as the burn-in content.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 rigs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EXIST HERE</w:t>
            </w:r>
            <w:r>
              <w:t xml:space="preserve"> </w:t>
            </w:r>
            <w:r>
              <w:t xml:space="preserve">— the physical D1/D2 devices + HDMI/Arvus sink probes are the HIL rig; nothing to buy or build.</w:t>
            </w:r>
          </w:p>
        </w:tc>
      </w:tr>
    </w:tbl>
    <w:bookmarkEnd w:id="31"/>
    <w:bookmarkStart w:id="32" w:name="X457893cb82a3f231bb95283031901fcd63fc620"/>
    <w:p>
      <w:pPr>
        <w:pStyle w:val="Heading3"/>
      </w:pPr>
      <w:r>
        <w:t xml:space="preserve">6.3 Verdict:</w:t>
      </w:r>
      <w:r>
        <w:t xml:space="preserve"> </w:t>
      </w:r>
      <w:r>
        <w:rPr>
          <w:b/>
          <w:bCs/>
        </w:rPr>
        <w:t xml:space="preserve">REJECT mechanism / ADAPT principle</w:t>
      </w:r>
      <w:r>
        <w:t xml:space="preserve"> </w:t>
      </w:r>
      <w:r>
        <w:t xml:space="preserve">→ Design D5 (§7.5) — PROJECT-LAYER instantiation (flash seam is project-specific per §11.4.35; the promotion-gate pattern itself is universal).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f92a70dc9ab0dba9a340d65f94597fcdf282dec"/>
    <w:p>
      <w:pPr>
        <w:pStyle w:val="Heading2"/>
      </w:pPr>
      <w:r>
        <w:t xml:space="preserve">7. Designs (bash + Go only; zero Gin services — none needed)</w:t>
      </w:r>
    </w:p>
    <w:p>
      <w:pPr>
        <w:pStyle w:val="FirstParagraph"/>
      </w:pPr>
      <w:r>
        <w:t xml:space="preserve">Every design below is a SPECIFICATION. Per §11.4.224(A), when implemented,</w:t>
      </w:r>
      <w:r>
        <w:t xml:space="preserve"> </w:t>
      </w:r>
      <w:r>
        <w:rPr>
          <w:b/>
          <w:bCs/>
        </w:rPr>
        <w:t xml:space="preserve">the named RED test is written and observed to fail FIRST</w:t>
      </w:r>
      <w:r>
        <w:t xml:space="preserve">; per §1.1 each gate ships its paired mutation. Feed-forward: these are candidate SOL-11..15 entries for the Phase 3 solutions agent (</w:t>
      </w:r>
      <w:r>
        <w:rPr>
          <w:rStyle w:val="VerbatimChar"/>
        </w:rPr>
        <w:t xml:space="preserve">solutions/README.md</w:t>
      </w:r>
      <w:r>
        <w:t xml:space="preserve"> </w:t>
      </w:r>
      <w:r>
        <w:t xml:space="preserve">currently ends at SOL-10; the Stop-seam and PostToolUse designs from</w:t>
      </w:r>
      <w:r>
        <w:t xml:space="preserve"> </w:t>
      </w:r>
      <w:r>
        <w:rPr>
          <w:rStyle w:val="VerbatimChar"/>
        </w:rPr>
        <w:t xml:space="preserve">TOOLING_STACK_VERIFICATION.md</w:t>
      </w:r>
      <w:r>
        <w:t xml:space="preserve"> </w:t>
      </w:r>
      <w:r>
        <w:t xml:space="preserve">§6 are the consumers of D1/D2's verdict files — cross-reference, do not duplicate).</w:t>
      </w:r>
    </w:p>
    <w:bookmarkStart w:id="34" w:name="X2c200a3c7f1e57d945a87517517b610f0309258"/>
    <w:p>
      <w:pPr>
        <w:pStyle w:val="Heading3"/>
      </w:pPr>
      <w:r>
        <w:t xml:space="preserve">7.1 D1 — Diff-scoped Go mutation gate (</w:t>
      </w:r>
      <w:r>
        <w:rPr>
          <w:rStyle w:val="VerbatimChar"/>
        </w:rPr>
        <w:t xml:space="preserve">mutation_gate.sh</w:t>
      </w:r>
      <w:r>
        <w:t xml:space="preserve"> </w:t>
      </w:r>
      <w:r>
        <w:t xml:space="preserve">+ gremlins)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Seam:</w:t>
      </w:r>
      <w:r>
        <w:t xml:space="preserve"> </w:t>
      </w:r>
      <w:r>
        <w:t xml:space="preserve">pre-build / review (runs in the §11.4.125 review window; verdict file consumable by the Stop-seam gate).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Mechanism (bash orchestrator, ~120 lines):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base=$(git merge-base HEAD origin/main)</w:t>
      </w:r>
      <w:r>
        <w:t xml:space="preserve">; changed Go packages =</w:t>
      </w:r>
      <w:r>
        <w:t xml:space="preserve"> </w:t>
      </w:r>
      <w:r>
        <w:rPr>
          <w:rStyle w:val="VerbatimChar"/>
        </w:rPr>
        <w:t xml:space="preserve">git diff --name-only "$base"..HEAD -- '*.go'</w:t>
      </w:r>
      <w:r>
        <w:t xml:space="preserve"> </w:t>
      </w:r>
      <w:r>
        <w:t xml:space="preserve">mapped through</w:t>
      </w:r>
      <w:r>
        <w:t xml:space="preserve"> </w:t>
      </w:r>
      <w:r>
        <w:rPr>
          <w:rStyle w:val="VerbatimChar"/>
        </w:rPr>
        <w:t xml:space="preserve">go list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Per changed package:</w:t>
      </w:r>
      <w:r>
        <w:t xml:space="preserve"> </w:t>
      </w:r>
      <w:r>
        <w:rPr>
          <w:rStyle w:val="VerbatimChar"/>
        </w:rPr>
        <w:t xml:space="preserve">gremlins unleash --tags=... &lt;pkg&gt;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(per-package budget, consumer DATA), output parsed to per-mutant records</w:t>
      </w:r>
      <w:r>
        <w:t xml:space="preserve"> </w:t>
      </w:r>
      <w:r>
        <w:rPr>
          <w:rStyle w:val="VerbatimChar"/>
        </w:rPr>
        <w:t xml:space="preserve">{file, line, operator, status}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Scope filter:</w:t>
      </w:r>
      <w:r>
        <w:t xml:space="preserve"> </w:t>
      </w:r>
      <w:r>
        <w:t xml:space="preserve">only mutants whose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intersects the diff's changed lines count (the TSE'22 diff-incremental discipline — whole-corpus results are reported but never gated on).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Policy (NOT a score floor):</w:t>
      </w:r>
      <w:r>
        <w:t xml:space="preserve"> </w:t>
      </w:r>
      <w:r>
        <w:t xml:space="preserve">every in-diff</w:t>
      </w:r>
      <w:r>
        <w:t xml:space="preserve"> </w:t>
      </w:r>
      <w:r>
        <w:rPr>
          <w:rStyle w:val="VerbatimChar"/>
        </w:rPr>
        <w:t xml:space="preserve">LIVED</w:t>
      </w:r>
      <w:r>
        <w:t xml:space="preserve"> </w:t>
      </w:r>
      <w:r>
        <w:t xml:space="preserve">mutant requires a recorded triage verdict in a checked-in ledger:</w:t>
      </w:r>
      <w:r>
        <w:t xml:space="preserve"> </w:t>
      </w:r>
      <w:r>
        <w:rPr>
          <w:rStyle w:val="VerbatimChar"/>
        </w:rPr>
        <w:t xml:space="preserve">killed-by-new-test | equivalent (justification) | accepted-risk (tracked §11.4.197 item id)</w:t>
      </w:r>
      <w:r>
        <w:t xml:space="preserve">. Unlisted survivor ⇒ gate FAILs naming file:line:operator. This is the §11.4.135/§11.4.224(E) checked-in-exemption pattern instead of the unachievable</w:t>
      </w:r>
      <w:r>
        <w:t xml:space="preserve"> </w:t>
      </w:r>
      <w:r>
        <w:rPr>
          <w:rStyle w:val="VerbatimChar"/>
        </w:rPr>
        <w:t xml:space="preserve">break: 100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Verdict file (JSON: mutants generated/killed/lived/triaged + evidence path) written to the SOL-02-class verdict store.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a fixture Go package with a deliberately assertion-free test + a live in-diff mutant; the gate MUST FAIL on it before any GREEN run is trusted. Golden-good: same package with a killing test ⇒ PASS. Negative control (§11.4.201): an out-of-diff</w:t>
      </w:r>
      <w:r>
        <w:t xml:space="preserve"> </w:t>
      </w:r>
      <w:r>
        <w:rPr>
          <w:rStyle w:val="VerbatimChar"/>
        </w:rPr>
        <w:t xml:space="preserve">LIVED</w:t>
      </w:r>
      <w:r>
        <w:t xml:space="preserve"> </w:t>
      </w:r>
      <w:r>
        <w:t xml:space="preserve">mutant MUST NOT fail the gate.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strip the scope filter (so the gate silently ignores in-diff survivors) ⇒ RED fixture must flip to PASS ⇒ meta-test FAILs.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equivalent-mutant misjudgment by the triager; bash code (no bash mutation tool exists — §2.3, stays on hand-authored §1.1); semantic invariants outside gremlins' operator set; test quality beyond mutant-killing (oracle relevance stays §11.4.194's job).</w:t>
      </w:r>
    </w:p>
    <w:bookmarkEnd w:id="34"/>
    <w:bookmarkStart w:id="35" w:name="Xb649c194d7460143b0166ac83d3254a92f05647"/>
    <w:p>
      <w:pPr>
        <w:pStyle w:val="Heading3"/>
      </w:pPr>
      <w:r>
        <w:t xml:space="preserve">7.2 D2 — Go fuzz work-class + bounded fuzz gate (</w:t>
      </w:r>
      <w:r>
        <w:rPr>
          <w:rStyle w:val="VerbatimChar"/>
        </w:rPr>
        <w:t xml:space="preserve">fuzz_gate.sh</w:t>
      </w:r>
      <w:r>
        <w:t xml:space="preserve">); D2b saboteur-as-review-role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D2 seam:</w:t>
      </w:r>
      <w:r>
        <w:t xml:space="preserve"> </w:t>
      </w:r>
      <w:r>
        <w:t xml:space="preserve">pre-build gate + permanent regression binding via corpus replay.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Mechanism: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Work-class rule (universal, DATA per §11.4.35):</w:t>
      </w:r>
      <w:r>
        <w:t xml:space="preserve"> </w:t>
      </w:r>
      <w:r>
        <w:t xml:space="preserve">every Go package that parses external input or implements a state machine (parsers, verdict stores, claim registries, sync engines) MUST carry ≥1</w:t>
      </w:r>
      <w:r>
        <w:t xml:space="preserve"> </w:t>
      </w:r>
      <w:r>
        <w:rPr>
          <w:rStyle w:val="VerbatimChar"/>
        </w:rPr>
        <w:t xml:space="preserve">FuzzXxx(f *testing.F)</w:t>
      </w:r>
      <w:r>
        <w:t xml:space="preserve"> </w:t>
      </w:r>
      <w:r>
        <w:t xml:space="preserve">target with seeded corpus in</w:t>
      </w:r>
      <w:r>
        <w:t xml:space="preserve"> </w:t>
      </w:r>
      <w:r>
        <w:rPr>
          <w:rStyle w:val="VerbatimChar"/>
        </w:rPr>
        <w:t xml:space="preserve">testdata/fuzz/</w:t>
      </w:r>
      <w:r>
        <w:t xml:space="preserve"> </w:t>
      </w:r>
      <w:r>
        <w:rPr>
          <w:b/>
          <w:bCs/>
        </w:rPr>
        <w:t xml:space="preserve">committed</w:t>
      </w:r>
      <w:r>
        <w:t xml:space="preserve"> </w:t>
      </w:r>
      <w:r>
        <w:t xml:space="preserve">— because committed corpus entries replay in every plain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run, every crasher ever found becomes a permanent §11.4.135-class guard with zero orchestration.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fuzz_gate.sh</w:t>
      </w:r>
      <w:r>
        <w:t xml:space="preserve"> </w:t>
      </w:r>
      <w:r>
        <w:t xml:space="preserve">(bash, ~80 lines): enumerates fuzz targets (</w:t>
      </w:r>
      <w:r>
        <w:rPr>
          <w:rStyle w:val="VerbatimChar"/>
        </w:rPr>
        <w:t xml:space="preserve">go test -list '^Fuzz'</w:t>
      </w:r>
      <w:r>
        <w:t xml:space="preserve"> </w:t>
      </w:r>
      <w:r>
        <w:t xml:space="preserve">per package — a real execution, not a grep); asserts declared work-class packages have ≥1 target; runs each with</w:t>
      </w:r>
      <w:r>
        <w:t xml:space="preserve"> </w:t>
      </w:r>
      <w:r>
        <w:rPr>
          <w:rStyle w:val="VerbatimChar"/>
        </w:rPr>
        <w:t xml:space="preserve">-fuzz=&lt;target&gt; -fuzztime=&lt;budget&gt;</w:t>
      </w:r>
      <w:r>
        <w:t xml:space="preserve"> </w:t>
      </w:r>
      <w:r>
        <w:t xml:space="preserve">(consumer DATA, e.g. 60s/target) in the heavy diff-gated tier per §11.4.110(4) two-speed honesty; plain corpus replay runs in the always-on tier.</w:t>
      </w:r>
    </w:p>
    <w:p>
      <w:pPr>
        <w:pStyle w:val="Compact"/>
        <w:numPr>
          <w:ilvl w:val="1"/>
          <w:numId w:val="1011"/>
        </w:numPr>
      </w:pPr>
      <w:r>
        <w:t xml:space="preserve">New crashers: minimized input committed + tracked item minted via §11.4.202/§11.4.214 intake (dedup-linked, never a new id for a recurring crasher).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fixture package with a known-crashing seed (e.g. an off-by-one slice parser) — gate MUST FAIL/report the crasher before trust; golden-good sibling passes.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delete the corpus-replay assertion ⇒ crasher fixture goes green ⇒ meta-test FAILs.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D2b (saboteur role):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.claude/agents/saboteur.md</w:t>
      </w:r>
      <w:r>
        <w:t xml:space="preserve"> </w:t>
      </w:r>
      <w:r>
        <w:t xml:space="preserve">review-time role whose toolbelt is D2's fuzz targets + §11.4.85</w:t>
      </w:r>
      <w:r>
        <w:t xml:space="preserve"> </w:t>
      </w:r>
      <w:r>
        <w:rPr>
          <w:rStyle w:val="VerbatimChar"/>
        </w:rPr>
        <w:t xml:space="preserve">stress_chaos.sh</w:t>
      </w:r>
      <w:r>
        <w:t xml:space="preserve"> </w:t>
      </w:r>
      <w:r>
        <w:t xml:space="preserve">helpers, and whose REQUIRED output is a machine verdict file</w:t>
      </w:r>
      <w:r>
        <w:t xml:space="preserve"> </w:t>
      </w:r>
      <w:r>
        <w:rPr>
          <w:rStyle w:val="VerbatimChar"/>
        </w:rPr>
        <w:t xml:space="preserve">{cases_run, classes_exercised[], findings[], evidence_paths[]}</w:t>
      </w:r>
      <w:r>
        <w:t xml:space="preserve"> </w:t>
      </w:r>
      <w:r>
        <w:t xml:space="preserve">in the verdict store — consumed by the Stop-seam completion gate (TOOLING_STACK_VERIFICATION §6 design).</w:t>
      </w:r>
      <w:r>
        <w:t xml:space="preserve"> </w:t>
      </w:r>
      <w:r>
        <w:rPr>
          <w:b/>
          <w:bCs/>
        </w:rPr>
        <w:t xml:space="preserve">Success semantics: evidence budget met + all findings triaged — NEVER "must find bugs"</w:t>
      </w:r>
      <w:r>
        <w:t xml:space="preserve"> </w:t>
      </w:r>
      <w:r>
        <w:t xml:space="preserve">(§3.1). Without the verdict-file consumption, D2b is prose and binds nothing; with it, "done" mechanically requires the adversarial pass to have RUN.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logic errors that never crash/panic (fuzzing needs an oracle — pair with property assertions inside targets where invariants exist, per the OOPSLA'25 PBT evidence); non-Go surfaces; concurrency bugs outside the fuzzed entry points (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stays a separate obligation).</w:t>
      </w:r>
    </w:p>
    <w:bookmarkEnd w:id="35"/>
    <w:bookmarkStart w:id="36" w:name="X423a72627bc72f22f2ef3033772aa917853e151"/>
    <w:p>
      <w:pPr>
        <w:pStyle w:val="Heading3"/>
      </w:pPr>
      <w:r>
        <w:t xml:space="preserve">7.3 D3 — Deterministic architecture gate (</w:t>
      </w:r>
      <w:r>
        <w:rPr>
          <w:rStyle w:val="VerbatimChar"/>
        </w:rPr>
        <w:t xml:space="preserve">arch_gate.sh</w:t>
      </w:r>
      <w:r>
        <w:t xml:space="preserve"> </w:t>
      </w:r>
      <w:r>
        <w:t xml:space="preserve">+ go-arch-lint)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Seam:</w:t>
      </w:r>
      <w:r>
        <w:t xml:space="preserve"> </w:t>
      </w:r>
      <w:r>
        <w:t xml:space="preserve">pre-build, always-on tier (fast).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Mechanism:</w:t>
      </w:r>
    </w:p>
    <w:p>
      <w:pPr>
        <w:pStyle w:val="Compact"/>
        <w:numPr>
          <w:ilvl w:val="1"/>
          <w:numId w:val="1013"/>
        </w:numPr>
      </w:pPr>
      <w:r>
        <w:t xml:space="preserve">Consumer-DATA</w:t>
      </w:r>
      <w:r>
        <w:t xml:space="preserve"> </w:t>
      </w:r>
      <w:r>
        <w:rPr>
          <w:rStyle w:val="VerbatimChar"/>
        </w:rPr>
        <w:t xml:space="preserve">.go-arch-lint.yml</w:t>
      </w:r>
      <w:r>
        <w:t xml:space="preserve"> </w:t>
      </w:r>
      <w:r>
        <w:t xml:space="preserve">per Go module (components + allowed dependency edges + vendor allowlists — the engine/consumer-data split the constitution already knows: e.g. "reporting engine may not import project-literal packages" becomes a checkable edge rule supporting §11.4.28 decoupling).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arch_gate.sh</w:t>
      </w:r>
      <w:r>
        <w:t xml:space="preserve">: runs</w:t>
      </w:r>
      <w:r>
        <w:t xml:space="preserve"> </w:t>
      </w:r>
      <w:r>
        <w:rPr>
          <w:rStyle w:val="VerbatimChar"/>
        </w:rPr>
        <w:t xml:space="preserve">go-arch-lint check --project-path &lt;module&gt;</w:t>
      </w:r>
      <w:r>
        <w:t xml:space="preserve"> </w:t>
      </w:r>
      <w:r>
        <w:t xml:space="preserve">per Go module (exit 1 = violation, file+import named); for bash, a structure-matched forbidden-pattern scanner (word-boundary/AST-adjacent matching per §11.4.201(7)(a), each scan control-needled with a same-dialect known-present needle per §11.4.201(7)(b)) for consumer-declared forbidden calls (e.g. raw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outside wrappers — the §11.4.113 class).</w:t>
      </w:r>
    </w:p>
    <w:p>
      <w:pPr>
        <w:pStyle w:val="Compact"/>
        <w:numPr>
          <w:ilvl w:val="1"/>
          <w:numId w:val="1013"/>
        </w:numPr>
      </w:pPr>
      <w:r>
        <w:t xml:space="preserve">ADR linkage without embeddings: each rule row carries the anchor/ADR id it enforces — the archgate</w:t>
      </w:r>
      <w:r>
        <w:t xml:space="preserve"> </w:t>
      </w:r>
      <w:r>
        <w:rPr>
          <w:i/>
          <w:iCs/>
        </w:rPr>
        <w:t xml:space="preserve">concept</w:t>
      </w:r>
      <w:r>
        <w:t xml:space="preserve"> </w:t>
      </w:r>
      <w:r>
        <w:t xml:space="preserve">(decision → executable rule) implemented in our existing CM-gate idiom.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fixture module with one forbidden import ⇒ gate FAILs naming it; golden-good sibling passes; negative control: a</w:t>
      </w:r>
      <w:r>
        <w:t xml:space="preserve"> </w:t>
      </w:r>
      <w:r>
        <w:rPr>
          <w:i/>
          <w:iCs/>
        </w:rPr>
        <w:t xml:space="preserve">comment mentioning</w:t>
      </w:r>
      <w:r>
        <w:t xml:space="preserve"> </w:t>
      </w:r>
      <w:r>
        <w:t xml:space="preserve">the forbidden import MUST NOT fire (the carrier case).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delete the rule row ⇒ RED fixture passes ⇒ meta-test FAILs.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Advisory retrieval half (non-gating):</w:t>
      </w:r>
      <w:r>
        <w:t xml:space="preserve"> </w:t>
      </w:r>
      <w:r>
        <w:t xml:space="preserve">relevant-ADR context injection at authoring time stays in CodeGraph/§11.4.78-79 territory — explicitly NOT a blocking mechanism.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contracts not expressible as import/structure rules (locking order, call sequencing, timing) — §11.4.194 review + D2 fuzz targets own those; violations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an allowed edge.</w:t>
      </w:r>
    </w:p>
    <w:bookmarkEnd w:id="36"/>
    <w:bookmarkStart w:id="37" w:name="X3a20d427ec66dba29ae08763332fbde23a0f507"/>
    <w:p>
      <w:pPr>
        <w:pStyle w:val="Heading3"/>
      </w:pPr>
      <w:r>
        <w:t xml:space="preserve">7.4 D4 — Review-size annotator (advisory, never blocking)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Seam:</w:t>
      </w:r>
      <w:r>
        <w:t xml:space="preserve"> </w:t>
      </w:r>
      <w:r>
        <w:t xml:space="preserve">§11.4.125/§11.4.142 review dispatch.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Mechanism (bash, ~40 lines):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vs merge-base; annotate the review dispatch with total churn, per-file churn, and a flag when any reviewed unit exceeds the evidence band (&gt;400 changed LOC per SmartBear/Cisco; &gt;~1000 total per Google) ⇒ instruction to the reviewer: split the REVIEW into passes ≤400 LOC and state per-pass coverage — never halt the work. Carve-outs mirrored from the evidence: deletions and generated/vendored churn (identified via the §11.4.224(E) exclusion-list classes) excluded from the count.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fixture diff of 1200 lines ⇒ annotator emits the flag; 80-line fixture ⇒ no flag; deletion-only 5000-line fixture ⇒ no flag (negative control — the §11.4.201(1) false-refusal guard).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Explicitly rejected:</w:t>
      </w:r>
      <w:r>
        <w:t xml:space="preserve"> </w:t>
      </w:r>
      <w:r>
        <w:t xml:space="preserve">any blocking form; the 50-line cap; the &gt;5-files cap (§5.2 evidence).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anything by itself — it is a review-quality aid; defect detection stays with the review + gates it feeds.</w:t>
      </w:r>
    </w:p>
    <w:bookmarkEnd w:id="37"/>
    <w:bookmarkStart w:id="38" w:name="Xb56fb8d7a60e97177f1e835e119ddc469120dd1"/>
    <w:p>
      <w:pPr>
        <w:pStyle w:val="Heading3"/>
      </w:pPr>
      <w:r>
        <w:t xml:space="preserve">7.5 D5 — Canary promotion gate at the flash seam (</w:t>
      </w:r>
      <w:r>
        <w:rPr>
          <w:rStyle w:val="VerbatimChar"/>
        </w:rPr>
        <w:t xml:space="preserve">canary_promote_gate.sh</w:t>
      </w:r>
      <w:r>
        <w:t xml:space="preserve">) — PROJECT-LAYER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Seam:</w:t>
      </w:r>
      <w:r>
        <w:t xml:space="preserve"> </w:t>
      </w:r>
      <w:r>
        <w:rPr>
          <w:rStyle w:val="VerbatimChar"/>
        </w:rPr>
        <w:t xml:space="preserve">scripts/flash.sh</w:t>
      </w:r>
      <w:r>
        <w:t xml:space="preserve"> </w:t>
      </w:r>
      <w:r>
        <w:t xml:space="preserve">wrapper (the only sanctioned flash path).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Mechanism (bash, ~100 lines):</w:t>
      </w:r>
    </w:p>
    <w:p>
      <w:pPr>
        <w:pStyle w:val="Compact"/>
        <w:numPr>
          <w:ilvl w:val="1"/>
          <w:numId w:val="1016"/>
        </w:numPr>
      </w:pPr>
      <w:r>
        <w:t xml:space="preserve">Consumer DATA: ordered device roster</w:t>
      </w:r>
      <w:r>
        <w:t xml:space="preserve"> </w:t>
      </w:r>
      <w:r>
        <w:rPr>
          <w:rStyle w:val="VerbatimChar"/>
        </w:rPr>
        <w:t xml:space="preserve">[canary=D1(998fd36615e99484), fleet=D2(66ff9c4f51f00ee7)]</w:t>
      </w:r>
      <w:r>
        <w:t xml:space="preserve"> </w:t>
      </w:r>
      <w:r>
        <w:t xml:space="preserve">+ burn-in budget (e.g. ≥N hours or the §11.4.130/§11.4.132 targeted-then-risk-ordered pass, whichever is longer).</w:t>
      </w:r>
    </w:p>
    <w:p>
      <w:pPr>
        <w:pStyle w:val="Compact"/>
        <w:numPr>
          <w:ilvl w:val="1"/>
          <w:numId w:val="1016"/>
        </w:numPr>
      </w:pPr>
      <w:r>
        <w:t xml:space="preserve">Flashing the canary: always permitted (with §11.4.200 verify-after-write identity read-back, already mandated).</w:t>
      </w:r>
    </w:p>
    <w:p>
      <w:pPr>
        <w:pStyle w:val="Compact"/>
        <w:numPr>
          <w:ilvl w:val="1"/>
          <w:numId w:val="1016"/>
        </w:numPr>
      </w:pPr>
      <w:r>
        <w:t xml:space="preserve">Flashing any NON-canary device with artifact fingerprint F:</w:t>
      </w:r>
      <w:r>
        <w:t xml:space="preserve"> </w:t>
      </w:r>
      <w:r>
        <w:rPr>
          <w:b/>
          <w:bCs/>
        </w:rPr>
        <w:t xml:space="preserve">REFUSED unless a burn-in verdict file for F on the canary exists and is GREEN</w:t>
      </w:r>
      <w:r>
        <w:t xml:space="preserve"> </w:t>
      </w:r>
      <w:r>
        <w:t xml:space="preserve">— verdict computed from captured §11.4.128 telemetry (crash/ANR census, boot-loop detector, audio XRUN census, Arvus sink probes) plus a</w:t>
      </w:r>
      <w:r>
        <w:t xml:space="preserve"> </w:t>
      </w:r>
      <w:r>
        <w:rPr>
          <w:b/>
          <w:bCs/>
        </w:rPr>
        <w:t xml:space="preserve">recorded-input-trace replay</w:t>
      </w:r>
      <w:r>
        <w:t xml:space="preserve"> </w:t>
      </w:r>
      <w:r>
        <w:t xml:space="preserve">(§6.2: replay a §11.4.128-recorded real-user input sequence on the new build, diff its health census against the same trace on the previous build — the honest firmware analogue of shadow traffic). Refusal prints the resolved evidence (§11.4.201(5)).</w:t>
      </w:r>
    </w:p>
    <w:p>
      <w:pPr>
        <w:pStyle w:val="Compact"/>
        <w:numPr>
          <w:ilvl w:val="1"/>
          <w:numId w:val="1016"/>
        </w:numPr>
      </w:pPr>
      <w:r>
        <w:t xml:space="preserve">Escape: none automated; an operator override is an explicit logged decision (§11.4.66), never a flag default.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RED-first test:</w:t>
      </w:r>
      <w:r>
        <w:t xml:space="preserve"> </w:t>
      </w:r>
      <w:r>
        <w:t xml:space="preserve">with no verdict file present, a non-canary flash attempt through the wrapper MUST refuse (exit ≠ 0, naming the missing verdict); with a green verdict for the SAME fingerprint it proceeds; with a green verdict for a DIFFERENT fingerprint it refuses (the §11.4.115(F) fingerprint discipline). Negative control: canary flash never refused by this gate.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Does NOT catch:</w:t>
      </w:r>
      <w:r>
        <w:t xml:space="preserve"> </w:t>
      </w:r>
      <w:r>
        <w:t xml:space="preserve">defects that manifest only after the burn-in window or only on the non-canary device's peripherals (2-device fleet = 1-device canary diversity — honest limit); A/B-style instant rollback (rejected for this target, §6.2 — recovery remains re-flash of the previous image, MASKROM path documented).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889adf6e06756d0e3cf9981c197dd268135c548"/>
    <w:p>
      <w:pPr>
        <w:pStyle w:val="Heading2"/>
      </w:pPr>
      <w:r>
        <w:t xml:space="preserve">8. Accuracy accounting — material #2 vs material #1</w:t>
      </w:r>
    </w:p>
    <w:p>
      <w:pPr>
        <w:pStyle w:val="FirstParagraph"/>
      </w:pPr>
      <w:r>
        <w:t xml:space="preserve">Named-artifact tally (11 checkable artifacts):</w:t>
      </w:r>
      <w:r>
        <w:t xml:space="preserve"> </w:t>
      </w:r>
      <w:r>
        <w:rPr>
          <w:b/>
          <w:bCs/>
        </w:rPr>
        <w:t xml:space="preserve">REAL: 9</w:t>
      </w:r>
      <w:r>
        <w:t xml:space="preserve"> </w:t>
      </w:r>
      <w:r>
        <w:t xml:space="preserve">(stryker-js,</w:t>
      </w:r>
      <w:r>
        <w:t xml:space="preserve"> </w:t>
      </w:r>
      <w:r>
        <w:rPr>
          <w:rStyle w:val="VerbatimChar"/>
        </w:rPr>
        <w:t xml:space="preserve">thresholds.break</w:t>
      </w:r>
      <w:r>
        <w:t xml:space="preserve">, mutmut, chromadb, sentence-transformers/all-MiniLM-L6-v2, langchain, Istio mirror/mirrorPercentage,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, archgate-as-name, CodeHacker-as-name — counting the last two at half-credit each for mischaracterization ⇒ effectively 9/11 ≈ 82% existence).</w:t>
      </w:r>
      <w:r>
        <w:t xml:space="preserve"> </w:t>
      </w:r>
      <w:r>
        <w:rPr>
          <w:b/>
          <w:bCs/>
        </w:rPr>
        <w:t xml:space="preserve">FABRICATED/UNLOCATABLE: 2</w:t>
      </w:r>
      <w:r>
        <w:t xml:space="preserve"> </w:t>
      </w:r>
      <w:r>
        <w:t xml:space="preserve">(</w:t>
      </w:r>
      <w:r>
        <w:rPr>
          <w:rStyle w:val="VerbatimChar"/>
        </w:rPr>
        <w:t xml:space="preserve">$CLAUDE_TOOL_INPUT</w:t>
      </w:r>
      <w:r>
        <w:t xml:space="preserve"> </w:t>
      </w:r>
      <w:r>
        <w:t xml:space="preserve">hook environment — proven fabricated with captured docs evidence;</w:t>
      </w:r>
      <w:r>
        <w:t xml:space="preserve"> </w:t>
      </w:r>
      <w:r>
        <w:rPr>
          <w:rStyle w:val="VerbatimChar"/>
        </w:rPr>
        <w:t xml:space="preserve">adversarial_runner.py</w:t>
      </w:r>
      <w:r>
        <w:t xml:space="preserve">/</w:t>
      </w:r>
      <w:r>
        <w:rPr>
          <w:rStyle w:val="VerbatimChar"/>
        </w:rPr>
        <w:t xml:space="preserve">fix_mutants.sh</w:t>
      </w:r>
      <w:r>
        <w:t xml:space="preserve">/</w:t>
      </w:r>
      <w:r>
        <w:rPr>
          <w:rStyle w:val="VerbatimChar"/>
        </w:rPr>
        <w:t xml:space="preserve">zero-bluff-gates</w:t>
      </w:r>
      <w:r>
        <w:t xml:space="preserve"> </w:t>
      </w:r>
      <w:r>
        <w:t xml:space="preserve">are acknowledged sketches/placeholders, not counted).</w:t>
      </w:r>
    </w:p>
    <w:p>
      <w:pPr>
        <w:pStyle w:val="BodyText"/>
      </w:pPr>
      <w:r>
        <w:t xml:space="preserve">Load-bearing mechanism tally (7 claims an adopter would build on):</w:t>
      </w:r>
      <w:r>
        <w:t xml:space="preserve"> </w:t>
      </w:r>
      <w:r>
        <w:rPr>
          <w:b/>
          <w:bCs/>
        </w:rPr>
        <w:t xml:space="preserve">SOUND: ~2–3</w:t>
      </w:r>
      <w:r>
        <w:t xml:space="preserve"> </w:t>
      </w:r>
      <w:r>
        <w:t xml:space="preserve">(mutation testing kills weak tests — true in the diff-scoped form; fuzz/chaos-class adversarial pressure finds real defects; staged canary rollout is real embedded practice).</w:t>
      </w:r>
      <w:r>
        <w:t xml:space="preserve"> </w:t>
      </w:r>
      <w:r>
        <w:rPr>
          <w:b/>
          <w:bCs/>
        </w:rPr>
        <w:t xml:space="preserve">UNSOUND: 4–5</w:t>
      </w:r>
      <w:r>
        <w:t xml:space="preserve"> </w:t>
      </w:r>
      <w:r>
        <w:t xml:space="preserve">(the hook wiring that would make GC-1 fire — silently never blocks; 100% whole-corpus kill — unachievable + gaming-inducing; cosine-similarity blocking gate — structural FP engine with self-inconsistent thresholds; "&gt;90% reduction" + "literally cannot produce a false green light" — uncited, and the latter is falsified by our own convergent research (equivalent mutants, oracle weakness, coverage blind complement)).</w:t>
      </w:r>
    </w:p>
    <w:p>
      <w:pPr>
        <w:pStyle w:val="BodyText"/>
      </w:pPr>
      <w:r>
        <w:rPr>
          <w:b/>
          <w:bCs/>
        </w:rPr>
        <w:t xml:space="preserve">Net: ≈82% artifact existence (better than material #1's ~2/3), ≈40% mechanism soundness (same failure signature as material #1).</w:t>
      </w:r>
      <w:r>
        <w:t xml:space="preserve"> </w:t>
      </w:r>
      <w:r>
        <w:t xml:space="preserve">The consistent shape across both materials:</w:t>
      </w:r>
      <w:r>
        <w:t xml:space="preserve"> </w:t>
      </w:r>
      <w:r>
        <w:rPr>
          <w:i/>
          <w:iCs/>
        </w:rPr>
        <w:t xml:space="preserve">real nouns, fabricated verbs</w:t>
      </w:r>
      <w:r>
        <w:t xml:space="preserve"> </w:t>
      </w:r>
      <w:r>
        <w:t xml:space="preserve">— the tools exist, the integration/guarantee layer is confabulated, and the confabulated layer is exactly the §11.4.201 false-negative surface (guards that silently never fire, thresholds that force gaming, guarantees that cannot hold). Material #2 is safe to mine for tool names and unsafe to follow for wiring — verbatim adoption would have installed one more silent no-op guard (GC-1's hook) and two trust-burning gates (GC-3, GC-4).</w:t>
      </w:r>
    </w:p>
    <w:bookmarkEnd w:id="40"/>
    <w:bookmarkStart w:id="41" w:name="Xf26c7e52a48de33c8dbdea5807581156f2640a1"/>
    <w:p>
      <w:pPr>
        <w:pStyle w:val="Heading2"/>
      </w:pPr>
      <w:r>
        <w:t xml:space="preserve">9. Seam-binding scorecard (the programme's convergent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Binds where §11.4.85/§1.1 currently prescribe?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diff-scoped mutation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CM-class gate verdict + Stop-seam consumption; complements (never replaces) hand-authored §1.1 mutations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Go fuzzing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strongest</w:t>
            </w:r>
          </w:p>
        </w:tc>
        <w:tc>
          <w:tcPr/>
          <w:p>
            <w:pPr>
              <w:pStyle w:val="Compact"/>
            </w:pPr>
            <w:r>
              <w:t xml:space="preserve">corpus replay executes in every plain</w:t>
            </w:r>
            <w:r>
              <w:t xml:space="preserve"> </w:t>
            </w: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t xml:space="preserve">with zero orchestration; crashers become permanent guards mechanically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D2b saboteur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via its verdict file</w:t>
            </w:r>
          </w:p>
        </w:tc>
        <w:tc>
          <w:tcPr/>
          <w:p>
            <w:pPr>
              <w:pStyle w:val="Compact"/>
            </w:pPr>
            <w:r>
              <w:t xml:space="preserve">consumed by the Stop-seam completion gate (the fablize-referenced design, TOOLING_STACK_VERIFICATION §6) — as a bare agent role it is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arch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deterministic exit-code gate, always-on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size annotator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(by design)</w:t>
            </w:r>
          </w:p>
        </w:tc>
        <w:tc>
          <w:tcPr/>
          <w:p>
            <w:pPr>
              <w:pStyle w:val="Compact"/>
            </w:pPr>
            <w:r>
              <w:t xml:space="preserve">advisory only — a blocking form would be a §11.4.201(1) false-refusal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canary promotion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refusal at the flash wrapper — the previously-unbound §11.4.130/§11.4.132 ordering becomes mechanical</w:t>
            </w:r>
          </w:p>
        </w:tc>
      </w:tr>
    </w:tbl>
    <w:p>
      <w:pPr>
        <w:pStyle w:val="BodyText"/>
      </w:pPr>
      <w:r>
        <w:t xml:space="preserve">The two genuinely unoccupied seams identified by BG-TOOLING-VERIFY (PostToolUse detective hooks; Stop-seam completion gate) are</w:t>
      </w:r>
      <w:r>
        <w:t xml:space="preserve"> </w:t>
      </w:r>
      <w:r>
        <w:rPr>
          <w:b/>
          <w:bCs/>
        </w:rPr>
        <w:t xml:space="preserve">confirmed, not displaced</w:t>
      </w:r>
      <w:r>
        <w:t xml:space="preserve">, by this material: nothing in GC-1..5 occupies either seam; D1/D2/D2b are</w:t>
      </w:r>
      <w:r>
        <w:t xml:space="preserve"> </w:t>
      </w:r>
      <w:r>
        <w:rPr>
          <w:i/>
          <w:iCs/>
        </w:rPr>
        <w:t xml:space="preserve">producers</w:t>
      </w:r>
      <w:r>
        <w:t xml:space="preserve"> </w:t>
      </w:r>
      <w:r>
        <w:t xml:space="preserve">whose verdicts the Stop-seam gate should consume.</w:t>
      </w:r>
    </w:p>
    <w:bookmarkEnd w:id="41"/>
    <w:bookmarkStart w:id="64" w:name="X71cdf369f1c713c5bc98639073beb77e8376c07"/>
    <w:p>
      <w:pPr>
        <w:pStyle w:val="Heading2"/>
      </w:pPr>
      <w:r>
        <w:t xml:space="preserve">10. Sources verified (2026-07-22)</w:t>
      </w:r>
    </w:p>
    <w:p>
      <w:pPr>
        <w:pStyle w:val="Compact"/>
        <w:numPr>
          <w:ilvl w:val="0"/>
          <w:numId w:val="1017"/>
        </w:numPr>
      </w:pPr>
      <w:r>
        <w:t xml:space="preserve">StrykerJS thresholds/</w:t>
      </w:r>
      <w:r>
        <w:rPr>
          <w:rStyle w:val="VerbatimChar"/>
        </w:rPr>
        <w:t xml:space="preserve">break</w:t>
      </w:r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https://stryker-mutator.io/docs/stryker-js/configuration/</w:t>
        </w:r>
      </w:hyperlink>
    </w:p>
    <w:p>
      <w:pPr>
        <w:pStyle w:val="Compact"/>
        <w:numPr>
          <w:ilvl w:val="0"/>
          <w:numId w:val="1017"/>
        </w:numPr>
      </w:pPr>
      <w:r>
        <w:t xml:space="preserve">mutmut v3.3.1:</w:t>
      </w:r>
      <w:r>
        <w:t xml:space="preserve"> </w:t>
      </w:r>
      <w:hyperlink r:id="rId43">
        <w:r>
          <w:rPr>
            <w:rStyle w:val="Hyperlink"/>
          </w:rPr>
          <w:t xml:space="preserve">https://mutmut.readthedocs.io/en/latest/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https://github.com/boxed/mutmut</w:t>
        </w:r>
      </w:hyperlink>
    </w:p>
    <w:p>
      <w:pPr>
        <w:pStyle w:val="Compact"/>
        <w:numPr>
          <w:ilvl w:val="0"/>
          <w:numId w:val="1017"/>
        </w:numPr>
      </w:pPr>
      <w:r>
        <w:t xml:space="preserve">gremlins v0.6.0 (2025-12-06), 374★, limitations:</w:t>
      </w:r>
      <w:r>
        <w:t xml:space="preserve"> </w:t>
      </w:r>
      <w:hyperlink r:id="rId45">
        <w:r>
          <w:rPr>
            <w:rStyle w:val="Hyperlink"/>
          </w:rPr>
          <w:t xml:space="preserve">https://github.com/go-gremlins/gremlins</w:t>
        </w:r>
      </w:hyperlink>
      <w:r>
        <w:t xml:space="preserve"> </w:t>
      </w:r>
      <w:r>
        <w:t xml:space="preserve">·</w:t>
      </w:r>
      <w:r>
        <w:t xml:space="preserve"> </w:t>
      </w:r>
      <w:hyperlink r:id="rId46">
        <w:r>
          <w:rPr>
            <w:rStyle w:val="Hyperlink"/>
          </w:rPr>
          <w:t xml:space="preserve">https://gremlins.dev/</w:t>
        </w:r>
      </w:hyperlink>
    </w:p>
    <w:p>
      <w:pPr>
        <w:pStyle w:val="Compact"/>
        <w:numPr>
          <w:ilvl w:val="0"/>
          <w:numId w:val="1017"/>
        </w:numPr>
      </w:pPr>
      <w:r>
        <w:t xml:space="preserve">go-mutesting dormancy:</w:t>
      </w:r>
      <w:r>
        <w:t xml:space="preserve"> </w:t>
      </w:r>
      <w:hyperlink r:id="rId47">
        <w:r>
          <w:rPr>
            <w:rStyle w:val="Hyperlink"/>
          </w:rPr>
          <w:t xml:space="preserve">https://github.com/avito-tech/go-mutesting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https://github.com/zimmski/go-mutesting/issues/100</w:t>
        </w:r>
      </w:hyperlink>
    </w:p>
    <w:p>
      <w:pPr>
        <w:pStyle w:val="Compact"/>
        <w:numPr>
          <w:ilvl w:val="0"/>
          <w:numId w:val="1017"/>
        </w:numPr>
      </w:pPr>
      <w:r>
        <w:t xml:space="preserve">go-arch-lint:</w:t>
      </w:r>
      <w:r>
        <w:t xml:space="preserve"> </w:t>
      </w:r>
      <w:hyperlink r:id="rId49">
        <w:r>
          <w:rPr>
            <w:rStyle w:val="Hyperlink"/>
          </w:rPr>
          <w:t xml:space="preserve">https://github.com/fe3dback/go-arch-lint</w:t>
        </w:r>
      </w:hyperlink>
    </w:p>
    <w:p>
      <w:pPr>
        <w:pStyle w:val="Compact"/>
        <w:numPr>
          <w:ilvl w:val="0"/>
          <w:numId w:val="1017"/>
        </w:numPr>
      </w:pPr>
      <w:r>
        <w:t xml:space="preserve">archgate (deterministic ADR rules, v0.50.0 2026-07-17):</w:t>
      </w:r>
      <w:r>
        <w:t xml:space="preserve"> </w:t>
      </w:r>
      <w:hyperlink r:id="rId50">
        <w:r>
          <w:rPr>
            <w:rStyle w:val="Hyperlink"/>
          </w:rPr>
          <w:t xml:space="preserve">https://github.com/archgate/cli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https://archgate.dev/</w:t>
        </w:r>
      </w:hyperlink>
    </w:p>
    <w:p>
      <w:pPr>
        <w:pStyle w:val="Compact"/>
        <w:numPr>
          <w:ilvl w:val="0"/>
          <w:numId w:val="1017"/>
        </w:numPr>
      </w:pPr>
      <w:r>
        <w:t xml:space="preserve">ArchUnitNET (pattern lineage):</w:t>
      </w:r>
      <w:r>
        <w:t xml:space="preserve"> </w:t>
      </w:r>
      <w:hyperlink r:id="rId52">
        <w:r>
          <w:rPr>
            <w:rStyle w:val="Hyperlink"/>
          </w:rPr>
          <w:t xml:space="preserve">https://github.com/TNG/ArchUnitNET</w:t>
        </w:r>
      </w:hyperlink>
    </w:p>
    <w:p>
      <w:pPr>
        <w:pStyle w:val="Compact"/>
        <w:numPr>
          <w:ilvl w:val="0"/>
          <w:numId w:val="1017"/>
        </w:numPr>
      </w:pPr>
      <w:r>
        <w:t xml:space="preserve">CodeHacker (competitive-programming scope):</w:t>
      </w:r>
      <w:r>
        <w:t xml:space="preserve"> </w:t>
      </w:r>
      <w:hyperlink r:id="rId53">
        <w:r>
          <w:rPr>
            <w:rStyle w:val="Hyperlink"/>
          </w:rPr>
          <w:t xml:space="preserve">https://arxiv.org/abs/2602.20213</w:t>
        </w:r>
      </w:hyperlink>
    </w:p>
    <w:p>
      <w:pPr>
        <w:pStyle w:val="Compact"/>
        <w:numPr>
          <w:ilvl w:val="0"/>
          <w:numId w:val="1017"/>
        </w:numPr>
      </w:pPr>
      <w:r>
        <w:t xml:space="preserve">Go native fuzzing (coverage-guided, Go 1.18+):</w:t>
      </w:r>
      <w:r>
        <w:t xml:space="preserve"> </w:t>
      </w:r>
      <w:hyperlink r:id="rId54">
        <w:r>
          <w:rPr>
            <w:rStyle w:val="Hyperlink"/>
          </w:rPr>
          <w:t xml:space="preserve">https://go.dev/doc/security/fuzz/</w:t>
        </w:r>
      </w:hyperlink>
      <w:r>
        <w:t xml:space="preserve"> </w:t>
      </w:r>
      <w:r>
        <w:t xml:space="preserve">·</w:t>
      </w:r>
      <w:r>
        <w:t xml:space="preserve"> </w:t>
      </w:r>
      <w:hyperlink r:id="rId55">
        <w:r>
          <w:rPr>
            <w:rStyle w:val="Hyperlink"/>
          </w:rPr>
          <w:t xml:space="preserve">https://go.dev/blog/fuzz-beta</w:t>
        </w:r>
      </w:hyperlink>
    </w:p>
    <w:p>
      <w:pPr>
        <w:pStyle w:val="Compact"/>
        <w:numPr>
          <w:ilvl w:val="0"/>
          <w:numId w:val="1017"/>
        </w:numPr>
      </w:pPr>
      <w:r>
        <w:t xml:space="preserve">Istio mirroring (</w:t>
      </w:r>
      <w:r>
        <w:rPr>
          <w:rStyle w:val="VerbatimChar"/>
        </w:rPr>
        <w:t xml:space="preserve">mirror</w:t>
      </w:r>
      <w:r>
        <w:t xml:space="preserve">/</w:t>
      </w:r>
      <w:r>
        <w:rPr>
          <w:rStyle w:val="VerbatimChar"/>
        </w:rPr>
        <w:t xml:space="preserve">mirrorPercentage</w:t>
      </w:r>
      <w:r>
        <w:t xml:space="preserve">):</w:t>
      </w:r>
      <w:r>
        <w:t xml:space="preserve"> </w:t>
      </w:r>
      <w:hyperlink r:id="rId56">
        <w:r>
          <w:rPr>
            <w:rStyle w:val="Hyperlink"/>
          </w:rPr>
          <w:t xml:space="preserve">https://istio.io/latest/docs/tasks/traffic-management/mirroring/</w:t>
        </w:r>
      </w:hyperlink>
    </w:p>
    <w:p>
      <w:pPr>
        <w:pStyle w:val="Compact"/>
        <w:numPr>
          <w:ilvl w:val="0"/>
          <w:numId w:val="1017"/>
        </w:numPr>
      </w:pPr>
      <w:r>
        <w:t xml:space="preserve">SmartBear/Cisco review study (200–400 LOC):</w:t>
      </w:r>
      <w:r>
        <w:t xml:space="preserve"> </w:t>
      </w:r>
      <w:hyperlink r:id="rId57">
        <w:r>
          <w:rPr>
            <w:rStyle w:val="Hyperlink"/>
          </w:rPr>
          <w:t xml:space="preserve">https://static1.smartbear.co/support/media/resources/cc/book/code-review-cisco-case-study.pdf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https://smartbear.com/learn/code-review/best-practices-for-peer-code-review/</w:t>
        </w:r>
      </w:hyperlink>
    </w:p>
    <w:p>
      <w:pPr>
        <w:pStyle w:val="Compact"/>
        <w:numPr>
          <w:ilvl w:val="0"/>
          <w:numId w:val="1017"/>
        </w:numPr>
      </w:pPr>
      <w:r>
        <w:t xml:space="preserve">Google small-CL guidance (100/1000 lines + carve-outs):</w:t>
      </w:r>
      <w:r>
        <w:t xml:space="preserve"> </w:t>
      </w:r>
      <w:hyperlink r:id="rId59">
        <w:r>
          <w:rPr>
            <w:rStyle w:val="Hyperlink"/>
          </w:rPr>
          <w:t xml:space="preserve">https://google.github.io/eng-practices/review/developer/small-cls.html</w:t>
        </w:r>
      </w:hyperlink>
    </w:p>
    <w:p>
      <w:pPr>
        <w:pStyle w:val="Compact"/>
        <w:numPr>
          <w:ilvl w:val="0"/>
          <w:numId w:val="1017"/>
        </w:numPr>
      </w:pPr>
      <w:r>
        <w:t xml:space="preserve">Purushothaman &amp; Perry, TSE 2005 (~4% one-line-change error rate):</w:t>
      </w:r>
      <w:r>
        <w:t xml:space="preserve"> </w:t>
      </w:r>
      <w:hyperlink r:id="rId60">
        <w:r>
          <w:rPr>
            <w:rStyle w:val="Hyperlink"/>
          </w:rPr>
          <w:t xml:space="preserve">https://www.researchgate.net/publication/3188494</w:t>
        </w:r>
      </w:hyperlink>
    </w:p>
    <w:p>
      <w:pPr>
        <w:pStyle w:val="Compact"/>
        <w:numPr>
          <w:ilvl w:val="0"/>
          <w:numId w:val="1017"/>
        </w:numPr>
      </w:pPr>
      <w:r>
        <w:t xml:space="preserve">Embedded OTA canary/staged/A-B practice:</w:t>
      </w:r>
      <w:r>
        <w:t xml:space="preserve"> </w:t>
      </w:r>
      <w:hyperlink r:id="rId61">
        <w:r>
          <w:rPr>
            <w:rStyle w:val="Hyperlink"/>
          </w:rPr>
          <w:t xml:space="preserve">https://memfault.com/blog/ota-testing-101-the-ultimate-guide/</w:t>
        </w:r>
      </w:hyperlink>
      <w:r>
        <w:t xml:space="preserve"> </w:t>
      </w:r>
      <w:r>
        <w:t xml:space="preserve">·</w:t>
      </w:r>
      <w:r>
        <w:t xml:space="preserve"> </w:t>
      </w:r>
      <w:hyperlink r:id="rId62">
        <w:r>
          <w:rPr>
            <w:rStyle w:val="Hyperlink"/>
          </w:rPr>
          <w:t xml:space="preserve">https://memfault.com/blog/ota-update-checklist-for-embedded-devices/</w:t>
        </w:r>
      </w:hyperlink>
    </w:p>
    <w:p>
      <w:pPr>
        <w:pStyle w:val="Compact"/>
        <w:numPr>
          <w:ilvl w:val="0"/>
          <w:numId w:val="1017"/>
        </w:numPr>
      </w:pPr>
      <w:r>
        <w:t xml:space="preserve">chromadb + sentence-transformers/all-MiniLM-L6-v2:</w:t>
      </w:r>
      <w:r>
        <w:t xml:space="preserve"> </w:t>
      </w:r>
      <w:hyperlink r:id="rId63">
        <w:r>
          <w:rPr>
            <w:rStyle w:val="Hyperlink"/>
          </w:rPr>
          <w:t xml:space="preserve">https://huggingface.co/sentence-transformers/all-MiniLM-L6-v2</w:t>
        </w:r>
      </w:hyperlink>
      <w:r>
        <w:t xml:space="preserve"> </w:t>
      </w:r>
      <w:r>
        <w:t xml:space="preserve">(+ Chroma integration docs)</w:t>
      </w:r>
    </w:p>
    <w:p>
      <w:pPr>
        <w:pStyle w:val="Compact"/>
        <w:numPr>
          <w:ilvl w:val="0"/>
          <w:numId w:val="1017"/>
        </w:numPr>
      </w:pPr>
      <w:r>
        <w:t xml:space="preserve">Prior captured evidence (not re-fetched):</w:t>
      </w:r>
      <w:r>
        <w:t xml:space="preserve"> </w:t>
      </w:r>
      <w:r>
        <w:rPr>
          <w:rStyle w:val="VerbatimChar"/>
        </w:rPr>
        <w:t xml:space="preserve">TOOLING_STACK_VERIFICATION.md</w:t>
      </w:r>
      <w:r>
        <w:t xml:space="preserve"> </w:t>
      </w:r>
      <w:r>
        <w:t xml:space="preserve">($CLAUDE_TOOL_INPUT fabrication; the two unoccupied seams; fablize/TruthGuard verification) ·</w:t>
      </w:r>
      <w:r>
        <w:t xml:space="preserve"> </w:t>
      </w:r>
      <w:r>
        <w:rPr>
          <w:rStyle w:val="VerbatimChar"/>
        </w:rPr>
        <w:t xml:space="preserve">EXTERNAL_RESEARCH.md</w:t>
      </w:r>
      <w:r>
        <w:t xml:space="preserve"> </w:t>
      </w:r>
      <w:r>
        <w:t xml:space="preserve">R1.3 (Petrović et al., ICSE'21 + TSE'22), R2.5 (OOPSLA'25 PBT ~50×), R4 (SQLite 22 AFL crashers at 100% MC/DC), R5.2 (Google &lt;10% effective-FP bar, CACM 2018), R6.3 (90% override rates).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archgate.dev/" TargetMode="External" /><Relationship Type="http://schemas.openxmlformats.org/officeDocument/2006/relationships/hyperlink" Id="rId53" Target="https://arxiv.org/abs/2602.20213" TargetMode="External" /><Relationship Type="http://schemas.openxmlformats.org/officeDocument/2006/relationships/hyperlink" Id="rId52" Target="https://github.com/TNG/ArchUnitNET" TargetMode="External" /><Relationship Type="http://schemas.openxmlformats.org/officeDocument/2006/relationships/hyperlink" Id="rId50" Target="https://github.com/archgate/cli" TargetMode="External" /><Relationship Type="http://schemas.openxmlformats.org/officeDocument/2006/relationships/hyperlink" Id="rId47" Target="https://github.com/avito-tech/go-mutesting" TargetMode="External" /><Relationship Type="http://schemas.openxmlformats.org/officeDocument/2006/relationships/hyperlink" Id="rId44" Target="https://github.com/boxed/mutmut" TargetMode="External" /><Relationship Type="http://schemas.openxmlformats.org/officeDocument/2006/relationships/hyperlink" Id="rId49" Target="https://github.com/fe3dback/go-arch-lint" TargetMode="External" /><Relationship Type="http://schemas.openxmlformats.org/officeDocument/2006/relationships/hyperlink" Id="rId45" Target="https://github.com/go-gremlins/gremlins" TargetMode="External" /><Relationship Type="http://schemas.openxmlformats.org/officeDocument/2006/relationships/hyperlink" Id="rId48" Target="https://github.com/zimmski/go-mutesting/issues/100" TargetMode="External" /><Relationship Type="http://schemas.openxmlformats.org/officeDocument/2006/relationships/hyperlink" Id="rId55" Target="https://go.dev/blog/fuzz-beta" TargetMode="External" /><Relationship Type="http://schemas.openxmlformats.org/officeDocument/2006/relationships/hyperlink" Id="rId54" Target="https://go.dev/doc/security/fuzz/" TargetMode="External" /><Relationship Type="http://schemas.openxmlformats.org/officeDocument/2006/relationships/hyperlink" Id="rId59" Target="https://google.github.io/eng-practices/review/developer/small-cls.html" TargetMode="External" /><Relationship Type="http://schemas.openxmlformats.org/officeDocument/2006/relationships/hyperlink" Id="rId46" Target="https://gremlins.dev/" TargetMode="External" /><Relationship Type="http://schemas.openxmlformats.org/officeDocument/2006/relationships/hyperlink" Id="rId63" Target="https://huggingface.co/sentence-transformers/all-MiniLM-L6-v2" TargetMode="External" /><Relationship Type="http://schemas.openxmlformats.org/officeDocument/2006/relationships/hyperlink" Id="rId56" Target="https://istio.io/latest/docs/tasks/traffic-management/mirroring/" TargetMode="External" /><Relationship Type="http://schemas.openxmlformats.org/officeDocument/2006/relationships/hyperlink" Id="rId61" Target="https://memfault.com/blog/ota-testing-101-the-ultimate-guide/" TargetMode="External" /><Relationship Type="http://schemas.openxmlformats.org/officeDocument/2006/relationships/hyperlink" Id="rId62" Target="https://memfault.com/blog/ota-update-checklist-for-embedded-devices/" TargetMode="External" /><Relationship Type="http://schemas.openxmlformats.org/officeDocument/2006/relationships/hyperlink" Id="rId43" Target="https://mutmut.readthedocs.io/en/latest/" TargetMode="External" /><Relationship Type="http://schemas.openxmlformats.org/officeDocument/2006/relationships/hyperlink" Id="rId58" Target="https://smartbear.com/learn/code-review/best-practices-for-peer-code-review/" TargetMode="External" /><Relationship Type="http://schemas.openxmlformats.org/officeDocument/2006/relationships/hyperlink" Id="rId57" Target="https://static1.smartbear.co/support/media/resources/cc/book/code-review-cisco-case-study.pdf" TargetMode="External" /><Relationship Type="http://schemas.openxmlformats.org/officeDocument/2006/relationships/hyperlink" Id="rId42" Target="https://stryker-mutator.io/docs/stryker-js/configuration/" TargetMode="External" /><Relationship Type="http://schemas.openxmlformats.org/officeDocument/2006/relationships/hyperlink" Id="rId60" Target="https://www.researchgate.net/publication/31884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rchgate.dev/" TargetMode="External" /><Relationship Type="http://schemas.openxmlformats.org/officeDocument/2006/relationships/hyperlink" Id="rId53" Target="https://arxiv.org/abs/2602.20213" TargetMode="External" /><Relationship Type="http://schemas.openxmlformats.org/officeDocument/2006/relationships/hyperlink" Id="rId52" Target="https://github.com/TNG/ArchUnitNET" TargetMode="External" /><Relationship Type="http://schemas.openxmlformats.org/officeDocument/2006/relationships/hyperlink" Id="rId50" Target="https://github.com/archgate/cli" TargetMode="External" /><Relationship Type="http://schemas.openxmlformats.org/officeDocument/2006/relationships/hyperlink" Id="rId47" Target="https://github.com/avito-tech/go-mutesting" TargetMode="External" /><Relationship Type="http://schemas.openxmlformats.org/officeDocument/2006/relationships/hyperlink" Id="rId44" Target="https://github.com/boxed/mutmut" TargetMode="External" /><Relationship Type="http://schemas.openxmlformats.org/officeDocument/2006/relationships/hyperlink" Id="rId49" Target="https://github.com/fe3dback/go-arch-lint" TargetMode="External" /><Relationship Type="http://schemas.openxmlformats.org/officeDocument/2006/relationships/hyperlink" Id="rId45" Target="https://github.com/go-gremlins/gremlins" TargetMode="External" /><Relationship Type="http://schemas.openxmlformats.org/officeDocument/2006/relationships/hyperlink" Id="rId48" Target="https://github.com/zimmski/go-mutesting/issues/100" TargetMode="External" /><Relationship Type="http://schemas.openxmlformats.org/officeDocument/2006/relationships/hyperlink" Id="rId55" Target="https://go.dev/blog/fuzz-beta" TargetMode="External" /><Relationship Type="http://schemas.openxmlformats.org/officeDocument/2006/relationships/hyperlink" Id="rId54" Target="https://go.dev/doc/security/fuzz/" TargetMode="External" /><Relationship Type="http://schemas.openxmlformats.org/officeDocument/2006/relationships/hyperlink" Id="rId59" Target="https://google.github.io/eng-practices/review/developer/small-cls.html" TargetMode="External" /><Relationship Type="http://schemas.openxmlformats.org/officeDocument/2006/relationships/hyperlink" Id="rId46" Target="https://gremlins.dev/" TargetMode="External" /><Relationship Type="http://schemas.openxmlformats.org/officeDocument/2006/relationships/hyperlink" Id="rId63" Target="https://huggingface.co/sentence-transformers/all-MiniLM-L6-v2" TargetMode="External" /><Relationship Type="http://schemas.openxmlformats.org/officeDocument/2006/relationships/hyperlink" Id="rId56" Target="https://istio.io/latest/docs/tasks/traffic-management/mirroring/" TargetMode="External" /><Relationship Type="http://schemas.openxmlformats.org/officeDocument/2006/relationships/hyperlink" Id="rId61" Target="https://memfault.com/blog/ota-testing-101-the-ultimate-guide/" TargetMode="External" /><Relationship Type="http://schemas.openxmlformats.org/officeDocument/2006/relationships/hyperlink" Id="rId62" Target="https://memfault.com/blog/ota-update-checklist-for-embedded-devices/" TargetMode="External" /><Relationship Type="http://schemas.openxmlformats.org/officeDocument/2006/relationships/hyperlink" Id="rId43" Target="https://mutmut.readthedocs.io/en/latest/" TargetMode="External" /><Relationship Type="http://schemas.openxmlformats.org/officeDocument/2006/relationships/hyperlink" Id="rId58" Target="https://smartbear.com/learn/code-review/best-practices-for-peer-code-review/" TargetMode="External" /><Relationship Type="http://schemas.openxmlformats.org/officeDocument/2006/relationships/hyperlink" Id="rId57" Target="https://static1.smartbear.co/support/media/resources/cc/book/code-review-cisco-case-study.pdf" TargetMode="External" /><Relationship Type="http://schemas.openxmlformats.org/officeDocument/2006/relationships/hyperlink" Id="rId42" Target="https://stryker-mutator.io/docs/stryker-js/configuration/" TargetMode="External" /><Relationship Type="http://schemas.openxmlformats.org/officeDocument/2006/relationships/hyperlink" Id="rId60" Target="https://www.researchgate.net/publication/31884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2026-10-11T22:25:04Z</dcterms:created>
  <dcterms:modified xsi:type="dcterms:W3CDTF">2026-10-11T22:25:04Z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