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9d7ed4c80a658ce493530e0f5e0581eabbd7f2"/>
    <w:p>
      <w:pPr>
        <w:pStyle w:val="Heading1"/>
      </w:pPr>
      <w:r>
        <w:t xml:space="preserve">Token-Efficiency Design — the composed §11.4.141 solution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Composes with §11.4.78/§11.4.79/§11.4.80 (CodeGraph), §11.4.20/§11.4.70 (subagent-driven), §11.4.58/§11.4.103 (parallel streams), §11.4.35 (consumer-thin / canonical-in-submodule), §11.4.50 (deterministic consistency), §11.4.125 (code-review), §11.4.6 (no-guessing — measured, not asserted), §11.4.106 (docs-chain), §12.6 (memory ceiling).</w:t>
      </w:r>
    </w:p>
    <w:p>
      <w:r>
        <w:pict>
          <v:rect style="width:0;height:1.5pt" o:hralign="center" o:hrstd="t" o:hr="t"/>
        </w:pict>
      </w:r>
    </w:p>
    <w:bookmarkStart w:id="9" w:name="Xda0b3a637933984af9650bbd2406e4d9f362576"/>
    <w:p>
      <w:pPr>
        <w:pStyle w:val="Heading2"/>
      </w:pPr>
      <w:r>
        <w:t xml:space="preserve">0. Design principle: cheaper-to-charge before smaller-to-send before do-less</w:t>
      </w:r>
    </w:p>
    <w:p>
      <w:pPr>
        <w:pStyle w:val="FirstParagraph"/>
      </w:pPr>
      <w:r>
        <w:t xml:space="preserve">Three independent dials, applied in order of safety: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Charge less for the same bytes</w:t>
      </w:r>
      <w:r>
        <w:t xml:space="preserve"> </w:t>
      </w:r>
      <w:r>
        <w:t xml:space="preserve">— prompt caching (transparent, zero behaviour change). Do this first; it is most of the win and cannot break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fewer bytes for the same rules</w:t>
      </w:r>
      <w:r>
        <w:t xml:space="preserve"> </w:t>
      </w:r>
      <w:r>
        <w:t xml:space="preserve">— thin index + on-demand detail + retrieval over full-file (rules preserved by reference; gates preserved by literal-anchor). Do this second.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less work per token</w:t>
      </w:r>
      <w:r>
        <w:t xml:space="preserve"> </w:t>
      </w:r>
      <w:r>
        <w:t xml:space="preserve">— model-tiering, terse/low-effort output, batching, compaction (restricted to mechanical paths so no decision is degraded). Do this third.</w:t>
      </w:r>
    </w:p>
    <w:p>
      <w:pPr>
        <w:pStyle w:val="FirstParagraph"/>
      </w:pPr>
      <w:r>
        <w:t xml:space="preserve">Each dial composes with the others and with every existing mechanism. None removes a rule, weakens an assertion, or changes a verdict.</w:t>
      </w:r>
    </w:p>
    <w:p>
      <w:r>
        <w:pict>
          <v:rect style="width:0;height:1.5pt" o:hralign="center" o:hrstd="t" o:hr="t"/>
        </w:pict>
      </w:r>
    </w:p>
    <w:bookmarkEnd w:id="9"/>
    <w:bookmarkStart w:id="17" w:name="Xd72ecb9568c7ed15b19f7cee4af93d9753fd14b"/>
    <w:p>
      <w:pPr>
        <w:pStyle w:val="Heading2"/>
      </w:pPr>
      <w:r>
        <w:t xml:space="preserve">1. The ranked, composable measure set</w:t>
      </w:r>
    </w:p>
    <w:bookmarkStart w:id="10" w:name="X9b12d96525ccd971a217ab50479b312c9e14b3d"/>
    <w:p>
      <w:pPr>
        <w:pStyle w:val="Heading3"/>
      </w:pPr>
      <w:r>
        <w:t xml:space="preserve">M1 — Cache the static governance prefix (Lever A) — PRIMARY, do first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Ensure the always-loaded governance (consumer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constitution/*</w:t>
      </w:r>
      <w:r>
        <w:t xml:space="preserve">) forms a</w:t>
      </w:r>
      <w:r>
        <w:t xml:space="preserve"> </w:t>
      </w:r>
      <w:r>
        <w:rPr>
          <w:b/>
          <w:bCs/>
        </w:rPr>
        <w:t xml:space="preserve">byte-stable prefix</w:t>
      </w:r>
      <w:r>
        <w:t xml:space="preserve"> </w:t>
      </w:r>
      <w:r>
        <w:t xml:space="preserve">with a single</w:t>
      </w:r>
      <w:r>
        <w:t xml:space="preserve"> </w:t>
      </w:r>
      <w:r>
        <w:rPr>
          <w:rStyle w:val="VerbatimChar"/>
        </w:rPr>
        <w:t xml:space="preserve">cache_control: {type:"ephemeral"}</w:t>
      </w:r>
      <w:r>
        <w:t xml:space="preserve"> </w:t>
      </w:r>
      <w:r>
        <w:t xml:space="preserve">breakpoint at its end, and that</w:t>
      </w:r>
      <w:r>
        <w:t xml:space="preserve"> </w:t>
      </w:r>
      <w:r>
        <w:rPr>
          <w:b/>
          <w:bCs/>
        </w:rPr>
        <w:t xml:space="preserve">nothing volatile is rendered ahead of it</w:t>
      </w:r>
      <w:r>
        <w:t xml:space="preserve">.</w:t>
      </w:r>
      <w:r>
        <w:t xml:space="preserve"> </w:t>
      </w:r>
      <w:r>
        <w:rPr>
          <w:b/>
          <w:bCs/>
        </w:rPr>
        <w:t xml:space="preserve">How, per agent: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Code:</w:t>
      </w:r>
      <w:r>
        <w:t xml:space="preserve"> </w:t>
      </w:r>
      <w:r>
        <w:t xml:space="preserve">native — the harness already caches the system+instruction prefix. The project's responsibility is the</w:t>
      </w:r>
      <w:r>
        <w:t xml:space="preserve"> </w:t>
      </w:r>
      <w:r>
        <w:rPr>
          <w:i/>
          <w:iCs/>
        </w:rPr>
        <w:t xml:space="preserve">don't-invalidate</w:t>
      </w:r>
      <w:r>
        <w:t xml:space="preserve"> </w:t>
      </w:r>
      <w:r>
        <w:t xml:space="preserve">discipline: governance files stay byte-identical within a session; no per-turn timestamp/UUID/unsorted-JSON is injected ahead of the breakpoint. Use the 1-hour TTL posture for gap-heavy sessions (set by the harness; project keeps the prefix stable).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 / Aider / any Anthropic-SDK driver:</w:t>
      </w:r>
      <w:r>
        <w:t xml:space="preserve"> </w:t>
      </w:r>
      <w:r>
        <w:t xml:space="preserve">put the governance in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as a single (or final) text block with</w:t>
      </w:r>
      <w:r>
        <w:t xml:space="preserve"> </w:t>
      </w:r>
      <w:r>
        <w:rPr>
          <w:rStyle w:val="VerbatimChar"/>
        </w:rPr>
        <w:t xml:space="preserve">cache_control: {"type":"ephemeral"}</w:t>
      </w:r>
      <w:r>
        <w:t xml:space="preserve">; reuse the exact prefix on every call. Verify</w:t>
      </w:r>
      <w:r>
        <w:t xml:space="preserve"> </w:t>
      </w:r>
      <w:r>
        <w:rPr>
          <w:rStyle w:val="VerbatimChar"/>
        </w:rPr>
        <w:t xml:space="preserve">usage.cache_read_input_tokens &gt; 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Gemini CLI / Qwen Code:</w:t>
      </w:r>
      <w:r>
        <w:t xml:space="preserve"> </w:t>
      </w:r>
      <w:r>
        <w:t xml:space="preserve">use API-key auth so the built-in context cache engages; keep the system instruction stable.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This is a</w:t>
      </w:r>
      <w:r>
        <w:t xml:space="preserve"> </w:t>
      </w:r>
      <w:r>
        <w:rPr>
          <w:i/>
          <w:iCs/>
        </w:rPr>
        <w:t xml:space="preserve">property of the prompt assembly</w:t>
      </w:r>
      <w:r>
        <w:t xml:space="preserve"> </w:t>
      </w:r>
      <w:r>
        <w:t xml:space="preserve">(stable prefix + breakpoint), not project-specific code. Any consuming project inherits it by keeping its governance prefix stable. Zero ATMOSphere coupling.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Caching is</w:t>
      </w:r>
      <w:r>
        <w:t xml:space="preserve"> </w:t>
      </w:r>
      <w:r>
        <w:rPr>
          <w:b/>
          <w:bCs/>
        </w:rPr>
        <w:t xml:space="preserve">prefix-transparent</w:t>
      </w:r>
      <w:r>
        <w:t xml:space="preserve"> </w:t>
      </w:r>
      <w:r>
        <w:t xml:space="preserve">— the model receives byte-identical input cached or not, so behaviour is provably unchanged (Anthropic docs;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). Every §11.4.X rule is still present verbatim in the prefix; every propagation gate's literal-anchor scan still passes against the same bytes. The only failure mode is paying full price (silent invalidator) — detectable, never corrupting.</w:t>
      </w:r>
      <w:r>
        <w:t xml:space="preserve"> </w:t>
      </w:r>
      <w:r>
        <w:rPr>
          <w:b/>
          <w:bCs/>
        </w:rPr>
        <w:t xml:space="preserve">It cannot break any existing mechanism because it changes only billing.</w:t>
      </w:r>
    </w:p>
    <w:bookmarkEnd w:id="10"/>
    <w:bookmarkStart w:id="11" w:name="Xac92b9c1d7eeaea50a7e6e458099d1551e428ed"/>
    <w:p>
      <w:pPr>
        <w:pStyle w:val="Heading3"/>
      </w:pPr>
      <w:r>
        <w:t xml:space="preserve">M2 — Subagent model-tiering + output-to-file (Lever D) — SECONDARY, biggest non-cache win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Route</w:t>
      </w:r>
      <w:r>
        <w:t xml:space="preserve"> </w:t>
      </w:r>
      <w:r>
        <w:rPr>
          <w:b/>
          <w:bCs/>
        </w:rPr>
        <w:t xml:space="preserve">mechanical, non-judgment</w:t>
      </w:r>
      <w:r>
        <w:t xml:space="preserve"> </w:t>
      </w:r>
      <w:r>
        <w:t xml:space="preserve">subagent work to a Haiku-class model; subagents persist large output to a 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recordings/</w:t>
      </w:r>
      <w:r>
        <w:t xml:space="preserve"> </w:t>
      </w:r>
      <w:r>
        <w:t xml:space="preserve">(already git-ignored per §11.4.128) and return a short pointer instead of a 350–520K-token inline transcript.</w:t>
      </w:r>
      <w:r>
        <w:t xml:space="preserve"> </w:t>
      </w:r>
      <w:r>
        <w:rPr>
          <w:b/>
          <w:bCs/>
        </w:rPr>
        <w:t xml:space="preserve">Mechanical-only allowlist (safe to tier down):</w:t>
      </w:r>
      <w:r>
        <w:t xml:space="preserve"> </w:t>
      </w:r>
      <w:r>
        <w:t xml:space="preserve">code/log search, grep/glob, status probes, doc export/regen, file-presence checks, read-only device probes (§11.4.96 SAFE catalogue), markdown sync.</w:t>
      </w:r>
      <w:r>
        <w:t xml:space="preserve"> </w:t>
      </w:r>
      <w:r>
        <w:rPr>
          <w:b/>
          <w:bCs/>
        </w:rPr>
        <w:t xml:space="preserve">Strong-model-only (NEVER tier down):</w:t>
      </w:r>
      <w:r>
        <w:t xml:space="preserve"> </w:t>
      </w:r>
      <w:r>
        <w:t xml:space="preserve">any PASS/FAIL verdict, fix design / root-cause (§11.4.102), code review (§11.4.125), demotion-evidence judgment (§11.4.7), anything producing captured-evidence interpretation.</w:t>
      </w:r>
      <w:r>
        <w:t xml:space="preserve"> </w:t>
      </w:r>
      <w:r>
        <w:rPr>
          <w:b/>
          <w:bCs/>
        </w:rPr>
        <w:t xml:space="preserve">How, per agent:</w:t>
      </w:r>
      <w:r>
        <w:t xml:space="preserve"> </w:t>
      </w:r>
      <w:r>
        <w:t xml:space="preserve">Claude Code subagent</w:t>
      </w:r>
      <w:r>
        <w:t xml:space="preserve"> </w:t>
      </w:r>
      <w:r>
        <w:rPr>
          <w:rStyle w:val="VerbatimChar"/>
        </w:rPr>
        <w:t xml:space="preserve">model: haiku</w:t>
      </w:r>
      <w:r>
        <w:t xml:space="preserve"> </w:t>
      </w:r>
      <w:r>
        <w:t xml:space="preserve">(alias) for the allowlist;</w:t>
      </w:r>
      <w:r>
        <w:t xml:space="preserve"> </w:t>
      </w:r>
      <w:r>
        <w:rPr>
          <w:rStyle w:val="VerbatimChar"/>
        </w:rPr>
        <w:t xml:space="preserve">inherit</w:t>
      </w:r>
      <w:r>
        <w:t xml:space="preserve">/</w:t>
      </w:r>
      <w:r>
        <w:rPr>
          <w:rStyle w:val="VerbatimChar"/>
        </w:rPr>
        <w:t xml:space="preserve">opus</w:t>
      </w:r>
      <w:r>
        <w:t xml:space="preserve"> </w:t>
      </w:r>
      <w:r>
        <w:t xml:space="preserve">for the rest. Gemini/Qwen hybrid (Gemini for cheap discovery, Qwen/strong for synthesis). Cursor/Aider per-request model.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The allowlist is expressed as</w:t>
      </w:r>
      <w:r>
        <w:t xml:space="preserve"> </w:t>
      </w:r>
      <w:r>
        <w:rPr>
          <w:i/>
          <w:iCs/>
        </w:rPr>
        <w:t xml:space="preserve">task class</w:t>
      </w:r>
      <w:r>
        <w:t xml:space="preserve">, not project package names — universal. Output-to-file uses the project's own artifact dirs (configured, not hardcoded).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The strong model still owns</w:t>
      </w:r>
      <w:r>
        <w:t xml:space="preserve"> </w:t>
      </w:r>
      <w:r>
        <w:rPr>
          <w:b/>
          <w:bCs/>
        </w:rPr>
        <w:t xml:space="preserve">every decision and every verdict</w:t>
      </w:r>
      <w:r>
        <w:t xml:space="preserve"> </w:t>
      </w:r>
      <w:r>
        <w:t xml:space="preserve">— only legwork is cheap, so §11.4.50 (determinism) and the anti-bluff covenant are untouched (the cheap model never emits a PASS). Output-to-file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faithful, not less — the full evidence is on disk (§11.4.5/§11.4.69), only the conductor's context shrinks. §12.6 memory ceiling and the §11.4.58/§11.4.103 stream caps are unchanged.</w:t>
      </w:r>
    </w:p>
    <w:bookmarkEnd w:id="11"/>
    <w:bookmarkStart w:id="12" w:name="Xa824dd1d57099e853f22afb7900196115ec6fa5"/>
    <w:p>
      <w:pPr>
        <w:pStyle w:val="Heading3"/>
      </w:pPr>
      <w:r>
        <w:t xml:space="preserve">M3 — Thin always-loaded INDEX + on-demand detail (Lever B) — restructure governance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Restructure the consumer governance so the</w:t>
      </w:r>
      <w:r>
        <w:t xml:space="preserve"> </w:t>
      </w:r>
      <w:r>
        <w:rPr>
          <w:b/>
          <w:bCs/>
        </w:rPr>
        <w:t xml:space="preserve">always-loaded</w:t>
      </w:r>
      <w:r>
        <w:t xml:space="preserve"> </w:t>
      </w:r>
      <w:r>
        <w:t xml:space="preserve">file is a concise index (one line per fix / per anchor:</w:t>
      </w:r>
      <w:r>
        <w:t xml:space="preserve"> </w:t>
      </w:r>
      <w:r>
        <w:rPr>
          <w:rStyle w:val="VerbatimChar"/>
        </w:rPr>
        <w:t xml:space="preserve">[§11.4.N]</w:t>
      </w:r>
      <w:r>
        <w:t xml:space="preserve"> </w:t>
      </w:r>
      <w:r>
        <w:t xml:space="preserve">literal + 1-sentence summary + pointer to the canonical full text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), with the</w:t>
      </w:r>
      <w:r>
        <w:t xml:space="preserve"> </w:t>
      </w:r>
      <w:r>
        <w:rPr>
          <w:b/>
          <w:bCs/>
        </w:rPr>
        <w:t xml:space="preserve">full bodies fetched on demand</w:t>
      </w:r>
      <w:r>
        <w:t xml:space="preserve">. This realises §11.4.35's existing split (consumer = thin extensions, submodule = canonical) at the byte level.</w:t>
      </w:r>
      <w:r>
        <w:t xml:space="preserve"> </w:t>
      </w:r>
      <w:r>
        <w:rPr>
          <w:b/>
          <w:bCs/>
        </w:rPr>
        <w:t xml:space="preserve">How:</w:t>
      </w:r>
      <w:r>
        <w:t xml:space="preserve"> </w:t>
      </w:r>
      <w:r>
        <w:t xml:space="preserve">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keeps its project-specific</w:t>
      </w:r>
      <w:r>
        <w:t xml:space="preserve"> </w:t>
      </w:r>
      <w:r>
        <w:rPr>
          <w:i/>
          <w:iCs/>
        </w:rPr>
        <w:t xml:space="preserve">operative</w:t>
      </w:r>
      <w:r>
        <w:t xml:space="preserve"> </w:t>
      </w:r>
      <w:r>
        <w:t xml:space="preserve">sections (build/flash/audio constraints that the agent needs every turn) but the</w:t>
      </w:r>
      <w:r>
        <w:t xml:space="preserve"> </w:t>
      </w:r>
      <w:r>
        <w:rPr>
          <w:b/>
          <w:bCs/>
        </w:rPr>
        <w:t xml:space="preserve">112-row Applied-Fixes table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verbatim §11.4.X anchor restatements</w:t>
      </w:r>
      <w:r>
        <w:t xml:space="preserve"> </w:t>
      </w:r>
      <w:r>
        <w:t xml:space="preserve">become an index that points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(which already holds the canonical full text). The agent reads a specific fix paragraph / anchor body only when a task touches it.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Pure file-layout + retrieval discipline — universal. No API feature, no project coupling.</w:t>
      </w:r>
      <w:r>
        <w:t xml:space="preserve"> </w:t>
      </w:r>
      <w:r>
        <w:rPr>
          <w:b/>
          <w:bCs/>
        </w:rPr>
        <w:t xml:space="preserve">Safety argument (the load-bearing one):</w:t>
      </w:r>
      <w:r>
        <w:t xml:space="preserve"> </w:t>
      </w:r>
      <w:r>
        <w:rPr>
          <w:b/>
          <w:bCs/>
        </w:rPr>
        <w:t xml:space="preserve">Three invariants keep every gate green and every rule reachable.</w:t>
      </w:r>
      <w:r>
        <w:t xml:space="preserve"> </w:t>
      </w:r>
      <w:r>
        <w:t xml:space="preserve">(1) Each index line carries the</w:t>
      </w:r>
      <w:r>
        <w:t xml:space="preserve"> </w:t>
      </w:r>
      <w:r>
        <w:rPr>
          <w:b/>
          <w:bCs/>
        </w:rPr>
        <w:t xml:space="preserve">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11.4.N</w:t>
      </w:r>
      <w:r>
        <w:rPr>
          <w:b/>
          <w:bCs/>
        </w:rPr>
        <w:t xml:space="preserve"> </w:t>
      </w:r>
      <w:r>
        <w:rPr>
          <w:b/>
          <w:bCs/>
        </w:rPr>
        <w:t xml:space="preserve">anchor token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gates (which scan for literal anchor strings) still pass. (2) The</w:t>
      </w:r>
      <w:r>
        <w:t xml:space="preserve"> </w:t>
      </w:r>
      <w:r>
        <w:rPr>
          <w:b/>
          <w:bCs/>
        </w:rPr>
        <w:t xml:space="preserve">canonical full text stays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constitution/Constitution.md</w:t>
      </w:r>
      <w:r>
        <w:t xml:space="preserve">, a tracked, gate-scanned file — no rule is deleted, only de-duplicated out of the consumer. (3) The full body is reachable in</w:t>
      </w:r>
      <w:r>
        <w:t xml:space="preserve"> </w:t>
      </w:r>
      <w:r>
        <w:rPr>
          <w:b/>
          <w:bCs/>
        </w:rPr>
        <w:t xml:space="preserve">one hop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 constitution/Constitution.md</w:t>
      </w:r>
      <w:r>
        <w:t xml:space="preserve"> </w:t>
      </w:r>
      <w:r>
        <w:t xml:space="preserve">at the anchor) so no rule becomes practically inaccessible. This is a</w:t>
      </w:r>
      <w:r>
        <w:t xml:space="preserve"> </w:t>
      </w:r>
      <w:r>
        <w:rPr>
          <w:i/>
          <w:iCs/>
        </w:rPr>
        <w:t xml:space="preserve">de-duplication</w:t>
      </w:r>
      <w:r>
        <w:t xml:space="preserve">, not a</w:t>
      </w:r>
      <w:r>
        <w:t xml:space="preserve"> </w:t>
      </w:r>
      <w:r>
        <w:rPr>
          <w:i/>
          <w:iCs/>
        </w:rPr>
        <w:t xml:space="preserve">deletion</w:t>
      </w:r>
      <w:r>
        <w:t xml:space="preserve">: today the rule text exists in BOTH the consumer and the submodule; M3 keeps the canonical copy and replaces the consumer's duplicate with a pointer. Net effect: identical rule coverage, ~80% smaller always-loaded payload.</w:t>
      </w:r>
      <w:r>
        <w:t xml:space="preserve"> </w:t>
      </w:r>
      <w:r>
        <w:rPr>
          <w:b/>
          <w:bCs/>
        </w:rPr>
        <w:t xml:space="preserve">Because M1 already makes the duplicate cheap, M3 is optional for the cost target on a warm cache — but it is the safety net for cold caches and the latency/window win, so it is recommended, sequenced after M1.</w:t>
      </w:r>
    </w:p>
    <w:bookmarkEnd w:id="12"/>
    <w:bookmarkStart w:id="13" w:name="X1e1aabda1d2e4aa1247818e1decd5c5b68a6b4e"/>
    <w:p>
      <w:pPr>
        <w:pStyle w:val="Heading3"/>
      </w:pPr>
      <w:r>
        <w:t xml:space="preserve">M4 — CodeGraph / retrieval over full-file loading (Lever C)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Structural questions → CodeGraph (§11.4.78, already installed) or lumen</w:t>
      </w:r>
      <w:r>
        <w:t xml:space="preserve"> </w:t>
      </w:r>
      <w:r>
        <w:rPr>
          <w:rStyle w:val="VerbatimChar"/>
        </w:rPr>
        <w:t xml:space="preserve">semantic_search</w:t>
      </w:r>
      <w:r>
        <w:t xml:space="preserve">; region questions → grep-scoped read; never re-read a harness-tracked file.</w:t>
      </w:r>
      <w:r>
        <w:t xml:space="preserve"> </w:t>
      </w:r>
      <w:r>
        <w:rPr>
          <w:b/>
          <w:bCs/>
        </w:rPr>
        <w:t xml:space="preserve">How, per agent:</w:t>
      </w:r>
      <w:r>
        <w:t xml:space="preserve"> </w:t>
      </w:r>
      <w:r>
        <w:t xml:space="preserve">Claude Code (CodeGraph MCP + lumen MCP — the PreToolUse hook already nudges this); other agents use their structural/semantic search + grep. Genericised rule: "prefer a structural/index query to a whole-file load when only structure or a region is needed."</w:t>
      </w:r>
      <w:r>
        <w:t xml:space="preserve"> </w:t>
      </w:r>
      <w:r>
        <w:rPr>
          <w:b/>
          <w:bCs/>
        </w:rPr>
        <w:t xml:space="preserve">Decoupling/reuse:</w:t>
      </w:r>
      <w:r>
        <w:t xml:space="preserve"> </w:t>
      </w:r>
      <w:r>
        <w:t xml:space="preserve">Uses already-mandated infrastructure; the rule is generic.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CodeGraph is read-only and constitution-trusted (§11.4.78). No behaviour change; strictly fewer tokens for the same answer.</w:t>
      </w:r>
    </w:p>
    <w:bookmarkEnd w:id="13"/>
    <w:bookmarkStart w:id="14" w:name="Xf525667ce10344b9721e3188a3203df7f67e63d"/>
    <w:p>
      <w:pPr>
        <w:pStyle w:val="Heading3"/>
      </w:pPr>
      <w:r>
        <w:t xml:space="preserve">M5 — Output-token reduction: terse status + low-effort mechanical subagents (Lever E)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Conductor status is one line per milestone, no restatement of unchanged governance; mechanical subagents run at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; structured/JSON output where a sink consumes it.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Terseness is presentation-only — captured-evidence artefacts (§11.4.5/§11.4.69) unchanged.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 </w:t>
      </w:r>
      <w:r>
        <w:t xml:space="preserve">restricted to the M2 mechanical allowlist, so no reasoning/verdict path is degraded. Output is 5× input price (Opus), so this is cost-leveraged.</w:t>
      </w:r>
    </w:p>
    <w:bookmarkEnd w:id="14"/>
    <w:bookmarkStart w:id="15" w:name="X3c70f87ba8873c6934210805ad3f1598aeddd2d"/>
    <w:p>
      <w:pPr>
        <w:pStyle w:val="Heading3"/>
      </w:pPr>
      <w:r>
        <w:t xml:space="preserve">M6 — Tool-call batching + no-re-reads (Lever F)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Independent tool calls in one block; reuse harness-tracked file state; reuse persisted tool outputs.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Pure efficiency; the harness already supports parallel calls and tracks file state. Zero behaviour change.</w:t>
      </w:r>
    </w:p>
    <w:bookmarkEnd w:id="15"/>
    <w:bookmarkStart w:id="16" w:name="X40a8635985662729d7c9c26f085ce4572f81d7e"/>
    <w:p>
      <w:pPr>
        <w:pStyle w:val="Heading3"/>
      </w:pPr>
      <w:r>
        <w:t xml:space="preserve">M7 — Compaction / context-editing for long sessions (Lever G) — defensive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Enable server-side compaction / context-editing so a 100+ turn cycle doesn't re-pay for an ever-growing transcript.</w:t>
      </w:r>
      <w:r>
        <w:t xml:space="preserve"> </w:t>
      </w:r>
      <w:r>
        <w:rPr>
          <w:b/>
          <w:bCs/>
        </w:rPr>
        <w:t xml:space="preserve">Safety argument:</w:t>
      </w:r>
      <w:r>
        <w:t xml:space="preserve"> </w:t>
      </w:r>
      <w:r>
        <w:t xml:space="preserve">Summarizes/prunes stale tool-results and old thinking, not the governance prefix; the cached prefix and all evidence on disk are untouched. Prevents erosion of the M1–M6 gains over long cycles.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6185a41f98a8c828326cca49bd411feadd9c40"/>
    <w:p>
      <w:pPr>
        <w:pStyle w:val="Heading2"/>
      </w:pPr>
      <w:r>
        <w:t xml:space="preserve">2. Sequencing (which measures get to 60–70%)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 (cache governance)</w:t>
      </w:r>
      <w:r>
        <w:t xml:space="preserve"> </w:t>
      </w:r>
      <w:r>
        <w:t xml:space="preserve">— alone gets total cost to</w:t>
      </w:r>
      <w:r>
        <w:t xml:space="preserve"> </w:t>
      </w:r>
      <w:r>
        <w:rPr>
          <w:b/>
          <w:bCs/>
        </w:rPr>
        <w:t xml:space="preserve">~35–50% of baseline</w:t>
      </w:r>
      <w:r>
        <w:t xml:space="preserve"> </w:t>
      </w:r>
      <w:r>
        <w:t xml:space="preserve">(input dominated by the now-0.1× governance). This is most of the target and the safest single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 M2 (tier + output-to-file)</w:t>
      </w:r>
      <w:r>
        <w:t xml:space="preserve"> </w:t>
      </w:r>
      <w:r>
        <w:t xml:space="preserve">— subagent fleet is a large share under the parallel-stream methodology; tiering mechanical work + killing inline transcripts brings total to</w:t>
      </w:r>
      <w:r>
        <w:t xml:space="preserve"> </w:t>
      </w:r>
      <w:r>
        <w:rPr>
          <w:b/>
          <w:bCs/>
        </w:rPr>
        <w:t xml:space="preserve">~30–40% of baseline (60–70% reduction) — the target</w:t>
      </w:r>
      <w:r>
        <w:t xml:space="preserve">, on a warm cache.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 M4/M5/M6</w:t>
      </w:r>
      <w:r>
        <w:t xml:space="preserve"> </w:t>
      </w:r>
      <w:r>
        <w:t xml:space="preserve">— push toward the low end of 30–40% and harden it on read-heavy and output-heavy turns.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 (index)</w:t>
      </w:r>
      <w:r>
        <w:t xml:space="preserve"> </w:t>
      </w:r>
      <w:r>
        <w:t xml:space="preserve">— the structural safety net: turns the cold-start / cache-miss case from "full-price 170K" into "full-price ~30K," so the gains survive bursty sessions; also frees window + cuts first-turn latency.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M7</w:t>
      </w:r>
      <w:r>
        <w:t xml:space="preserve"> </w:t>
      </w:r>
      <w:r>
        <w:t xml:space="preserve">— keeps it from eroding on very long cycles.</w:t>
      </w:r>
    </w:p>
    <w:p>
      <w:pPr>
        <w:pStyle w:val="FirstParagraph"/>
      </w:pPr>
      <w:r>
        <w:rPr>
          <w:b/>
          <w:bCs/>
        </w:rPr>
        <w:t xml:space="preserve">Realistic combined number (honest, per §11.4.6):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Warm-cache steady state: ~30–40% of baseline (60–70% reduction) — target met</w:t>
      </w:r>
      <w:r>
        <w:t xml:space="preserve">, contingent on the three measured conditions in RESEARCH §5 (cache warm, no silent invalidator, mechanical subagents tiered).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Cold-cache / caching-unavailable floor: ~45–55% of baseline (45–55% reduction)</w:t>
      </w:r>
      <w:r>
        <w:t xml:space="preserve"> </w:t>
      </w:r>
      <w:r>
        <w:t xml:space="preserve">from M3+M2+M4+M5+M6 alone.</w:t>
      </w:r>
      <w:r>
        <w:t xml:space="preserve"> </w:t>
      </w:r>
      <w:r>
        <w:rPr>
          <w:b/>
          <w:bCs/>
        </w:rPr>
        <w:t xml:space="preserve">This is the number to quote when caching cannot be relied on — the target is not safely achievable without warm caching, and the rule requires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measured</w:t>
      </w:r>
      <w:r>
        <w:rPr>
          <w:b/>
          <w:bCs/>
        </w:rPr>
        <w:t xml:space="preserve"> </w:t>
      </w:r>
      <w:r>
        <w:rPr>
          <w:b/>
          <w:bCs/>
        </w:rPr>
        <w:t xml:space="preserve">best, never an asserted headline.</w:t>
      </w:r>
    </w:p>
    <w:p>
      <w:r>
        <w:pict>
          <v:rect style="width:0;height:1.5pt" o:hralign="center" o:hrstd="t" o:hr="t"/>
        </w:pict>
      </w:r>
    </w:p>
    <w:bookmarkEnd w:id="18"/>
    <w:bookmarkStart w:id="19" w:name="Xf1915a2e87f5f3514924edeb8a31e8a0da91eff"/>
    <w:p>
      <w:pPr>
        <w:pStyle w:val="Heading2"/>
      </w:pPr>
      <w:r>
        <w:t xml:space="preserve">3. Universal / decoupled / reusable story</w:t>
      </w:r>
    </w:p>
    <w:p>
      <w:pPr>
        <w:pStyle w:val="FirstParagraph"/>
      </w:pPr>
      <w:r>
        <w:t xml:space="preserve">Every measure is expressed as a</w:t>
      </w:r>
      <w:r>
        <w:t xml:space="preserve"> </w:t>
      </w:r>
      <w:r>
        <w:rPr>
          <w:b/>
          <w:bCs/>
        </w:rPr>
        <w:t xml:space="preserve">discipline or an API-feature usage</w:t>
      </w:r>
      <w:r>
        <w:t xml:space="preserve">, never as ATMOSphere code:</w:t>
      </w:r>
    </w:p>
    <w:p>
      <w:pPr>
        <w:pStyle w:val="Compact"/>
        <w:numPr>
          <w:ilvl w:val="0"/>
          <w:numId w:val="1005"/>
        </w:numPr>
      </w:pPr>
      <w:r>
        <w:t xml:space="preserve">M1/M5/M7 = Claude/LLM API features (cache_control, effort, compaction) — the consuming project supplies its own model IDs and prefix.</w:t>
      </w:r>
    </w:p>
    <w:p>
      <w:pPr>
        <w:pStyle w:val="Compact"/>
        <w:numPr>
          <w:ilvl w:val="0"/>
          <w:numId w:val="1005"/>
        </w:numPr>
      </w:pPr>
      <w:r>
        <w:t xml:space="preserve">M2/M4/M6 = task-class disciplines (tier mechanical work; prefer structural query; batch) — the project supplies its own mechanical-allowlist and structural-index tool.</w:t>
      </w:r>
    </w:p>
    <w:p>
      <w:pPr>
        <w:pStyle w:val="Compact"/>
        <w:numPr>
          <w:ilvl w:val="0"/>
          <w:numId w:val="1005"/>
        </w:numPr>
      </w:pPr>
      <w:r>
        <w:t xml:space="preserve">M3 = file-layout discipline (thin index + canonical-by-reference) — the project supplies its own governance files; the §11.4.35 split already exists to host it.</w:t>
      </w:r>
    </w:p>
    <w:p>
      <w:pPr>
        <w:pStyle w:val="FirstParagraph"/>
      </w:pPr>
      <w:r>
        <w:t xml:space="preserve">A different project inherits §11.4.141 by: keeping its governance prefix stable + breakpointed (M1), tiering its own mechanical subagents (M2), indexing its own large always-loaded docs (M3), preferring its own structural search (M4), and running its measurement harness (MEASUREMENT.md). No ATMOSphere-specific value is required.</w:t>
      </w:r>
    </w:p>
    <w:p>
      <w:r>
        <w:pict>
          <v:rect style="width:0;height:1.5pt" o:hralign="center" o:hrstd="t" o:hr="t"/>
        </w:pict>
      </w:r>
    </w:p>
    <w:bookmarkEnd w:id="19"/>
    <w:bookmarkStart w:id="20" w:name="Xc6fa465c03606e815b5b5ce7940e3782e08067d"/>
    <w:p>
      <w:pPr>
        <w:pStyle w:val="Heading2"/>
      </w:pPr>
      <w:r>
        <w:t xml:space="preserve">4. The must-not-break / must-not-degrade safety summary (per measure)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Could it remove a rule?</w:t>
            </w:r>
          </w:p>
        </w:tc>
        <w:tc>
          <w:tcPr/>
          <w:p>
            <w:pPr>
              <w:pStyle w:val="Compact"/>
            </w:pPr>
            <w:r>
              <w:t xml:space="preserve">Could it weaken a gate?</w:t>
            </w:r>
          </w:p>
        </w:tc>
        <w:tc>
          <w:tcPr/>
          <w:p>
            <w:pPr>
              <w:pStyle w:val="Compact"/>
            </w:pPr>
            <w:r>
              <w:t xml:space="preserve">Could it lower quality?</w:t>
            </w:r>
          </w:p>
        </w:tc>
        <w:tc>
          <w:tcPr/>
          <w:p>
            <w:pPr>
              <w:pStyle w:val="Compact"/>
            </w:pPr>
            <w:r>
              <w:t xml:space="preserve">Could it change a verdict?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cache</w:t>
            </w:r>
          </w:p>
        </w:tc>
        <w:tc>
          <w:tcPr/>
          <w:p>
            <w:pPr>
              <w:pStyle w:val="Compact"/>
            </w:pPr>
            <w:r>
              <w:t xml:space="preserve">No (bytes identical)</w:t>
            </w:r>
          </w:p>
        </w:tc>
        <w:tc>
          <w:tcPr/>
          <w:p>
            <w:pPr>
              <w:pStyle w:val="Compact"/>
            </w:pPr>
            <w:r>
              <w:t xml:space="preserve">No (literal anchors present, identical bytes)</w:t>
            </w:r>
          </w:p>
        </w:tc>
        <w:tc>
          <w:tcPr/>
          <w:p>
            <w:pPr>
              <w:pStyle w:val="Compact"/>
            </w:pPr>
            <w:r>
              <w:t xml:space="preserve">No (transparent)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tier+file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(strong model owns all decisions; mechanical-only tier-down)</w:t>
            </w:r>
          </w:p>
        </w:tc>
        <w:tc>
          <w:tcPr/>
          <w:p>
            <w:pPr>
              <w:pStyle w:val="Compact"/>
            </w:pPr>
            <w:r>
              <w:t xml:space="preserve">No (cheap model never emits PASS/FAIL)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index</w:t>
            </w:r>
          </w:p>
        </w:tc>
        <w:tc>
          <w:tcPr/>
          <w:p>
            <w:pPr>
              <w:pStyle w:val="Compact"/>
            </w:pPr>
            <w:r>
              <w:t xml:space="preserve">No (canonical text kept in submodule, reachable 1 hop, literal anchors in index)</w:t>
            </w:r>
          </w:p>
        </w:tc>
        <w:tc>
          <w:tcPr/>
          <w:p>
            <w:pPr>
              <w:pStyle w:val="Compact"/>
            </w:pPr>
            <w:r>
              <w:t xml:space="preserve">No (literal-anchor scan passes; full text still gate-scanned)</w:t>
            </w:r>
          </w:p>
        </w:tc>
        <w:tc>
          <w:tcPr/>
          <w:p>
            <w:pPr>
              <w:pStyle w:val="Compact"/>
            </w:pPr>
            <w:r>
              <w:t xml:space="preserve">No (rules still reachable)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retrieval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(CodeGraph trusted §11.4.78)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terse/low-effort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(evidence unchanged; effort:low mechanical-only)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batch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compaction</w:t>
            </w:r>
          </w:p>
        </w:tc>
        <w:tc>
          <w:tcPr/>
          <w:p>
            <w:pPr>
              <w:pStyle w:val="Compact"/>
            </w:pPr>
            <w:r>
              <w:t xml:space="preserve">No (prunes stale tool-results, not governance/evidence)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measure can break or degrade any existing mechanism, because:</w:t>
      </w:r>
      <w:r>
        <w:t xml:space="preserve"> </w:t>
      </w:r>
      <w:r>
        <w:t xml:space="preserve">caching is transparent; tiering and low-effort are confined to mechanical non-judgment work; indexing preserves the full rules by reference with literal anchors so the propagation gates pass; retrieval uses already-trusted read-only infrastructure; the anti-bluff covenant, deterministic-consistency, code-review, and memory-ceiling rules are all untouched.</w:t>
      </w:r>
    </w:p>
    <w:p>
      <w:r>
        <w:pict>
          <v:rect style="width:0;height:1.5pt" o:hralign="center" o:hrstd="t" o:hr="t"/>
        </w:pict>
      </w:r>
    </w:p>
    <w:bookmarkEnd w:id="20"/>
    <w:bookmarkStart w:id="21" w:name="Xc32535380110735d80c1d7fb625c3d4e3ddbec1"/>
    <w:p>
      <w:pPr>
        <w:pStyle w:val="Heading2"/>
      </w:pPr>
      <w:r>
        <w:t xml:space="preserve">5. Project-layer instantiation note (for the ATMOSphere consumer, per §11.4.35)</w:t>
      </w:r>
    </w:p>
    <w:p>
      <w:pPr>
        <w:pStyle w:val="FirstParagraph"/>
      </w:pPr>
      <w:r>
        <w:t xml:space="preserve">When this anchor lands, the ATMOSphere consumer instantiation would: (a) confirm the Claude Code governance-prefix cache is warm (</w:t>
      </w:r>
      <w:r>
        <w:rPr>
          <w:rStyle w:val="VerbatimChar"/>
        </w:rPr>
        <w:t xml:space="preserve">cache_read_input_tokens &gt; 0</w:t>
      </w:r>
      <w:r>
        <w:t xml:space="preserve">) and free of pre-breakpoint volatiles; (b) tier the §11.4.96-SAFE mechanical subagents (search/grep/status/doc-export) to Haiku and require subagent output-to-file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; (c) replace the 112-row Applied-Fixes inline table + verbatim anchor restatements in 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 a literal-anchor index pointing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; (d) keep CodeGraph/lumen-first navigation; (e) run the §MEASUREMENT harness before/after to prove the measured reduction. That instantiation is a separate follow-up PWU — this document defines the universal contract only.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2026-10-11T22:25:47Z</dcterms:created>
  <dcterms:modified xsi:type="dcterms:W3CDTF">2026-10-11T22:25:47Z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