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4eb54b9fc32eaf64378cb905614aec3b6708edb"/>
    <w:p>
      <w:pPr>
        <w:pStyle w:val="Heading1"/>
      </w:pPr>
      <w:r>
        <w:t xml:space="preserve">schedule_feature_research.sh — §11.4.213 FEATURE research-scheduling engine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2026-07-16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2026-07-16T12:00:00Z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constitution/scripts/feature/schedule_feature_research.sh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constitution/Constitution.md</w:t>
            </w:r>
            <w:r>
              <w:t xml:space="preserve"> </w:t>
            </w:r>
            <w:r>
              <w:t xml:space="preserve">§11.4.213</w:t>
            </w:r>
          </w:p>
        </w:tc>
      </w:tr>
    </w:tbl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rPr>
          <w:rStyle w:val="VerbatimChar"/>
        </w:rPr>
        <w:t xml:space="preserve">schedule_feature_research.sh</w:t>
      </w:r>
      <w:r>
        <w:t xml:space="preserve"> </w:t>
      </w:r>
      <w:r>
        <w:t xml:space="preserve">turns a plain-language FEATURE DESCRIPTION —</w:t>
      </w:r>
      <w:r>
        <w:t xml:space="preserve"> </w:t>
      </w:r>
      <w:r>
        <w:t xml:space="preserve">delivered by the §11.4.140 registered action</w:t>
      </w:r>
      <w:r>
        <w:t xml:space="preserve"> </w:t>
      </w:r>
      <w:r>
        <w:rPr>
          <w:rStyle w:val="VerbatimChar"/>
        </w:rPr>
        <w:t xml:space="preserve">FEATURE</w:t>
      </w:r>
      <w:r>
        <w:t xml:space="preserve">, or by any other</w:t>
      </w:r>
      <w:r>
        <w:t xml:space="preserve"> </w:t>
      </w:r>
      <w:r>
        <w:t xml:space="preserve">caller — into a</w:t>
      </w:r>
      <w:r>
        <w:t xml:space="preserve"> </w:t>
      </w:r>
      <w:r>
        <w:rPr>
          <w:b/>
          <w:bCs/>
        </w:rPr>
        <w:t xml:space="preserve">SCHEDULED</w:t>
      </w:r>
      <w:r>
        <w:t xml:space="preserve"> </w:t>
      </w:r>
      <w:r>
        <w:t xml:space="preserve">(never synchronously executed) deep,</w:t>
      </w:r>
      <w:r>
        <w:t xml:space="preserve"> </w:t>
      </w:r>
      <w:r>
        <w:t xml:space="preserve">enterprise-grade research + implementation-planning effort.</w:t>
      </w:r>
    </w:p>
    <w:p>
      <w:pPr>
        <w:pStyle w:val="SourceCode"/>
      </w:pPr>
      <w:r>
        <w:rPr>
          <w:rStyle w:val="VerbatimChar"/>
        </w:rPr>
        <w:t xml:space="preserve">feature description</w:t>
      </w:r>
      <w:r>
        <w:br/>
      </w:r>
      <w:r>
        <w:rPr>
          <w:rStyle w:val="VerbatimChar"/>
        </w:rPr>
        <w:t xml:space="preserve">   ├─(1) CREATE → a Type=Task workable item, by DELEGATING to the SAME</w:t>
      </w:r>
      <w:r>
        <w:br/>
      </w:r>
      <w:r>
        <w:rPr>
          <w:rStyle w:val="VerbatimChar"/>
        </w:rPr>
        <w:t xml:space="preserve">   │              §11.4.202 report_item.sh engine (never a duplicate</w:t>
      </w:r>
      <w:r>
        <w:br/>
      </w:r>
      <w:r>
        <w:rPr>
          <w:rStyle w:val="VerbatimChar"/>
        </w:rPr>
        <w:t xml:space="preserve">   │              implementation) — its description embeds the full</w:t>
      </w:r>
      <w:r>
        <w:br/>
      </w:r>
      <w:r>
        <w:rPr>
          <w:rStyle w:val="VerbatimChar"/>
        </w:rPr>
        <w:t xml:space="preserve">   │              research-and-planning WORK PROGRAM as acceptance criteria</w:t>
      </w:r>
      <w:r>
        <w:br/>
      </w:r>
      <w:r>
        <w:rPr>
          <w:rStyle w:val="VerbatimChar"/>
        </w:rPr>
        <w:t xml:space="preserve">   ├─(2) SYNC + PUSH → delegated to report_item.sh exactly as §11.4.202</w:t>
      </w:r>
      <w:r>
        <w:br/>
      </w:r>
      <w:r>
        <w:rPr>
          <w:rStyle w:val="VerbatimChar"/>
        </w:rPr>
        <w:t xml:space="preserve">   │              performs them (absent credentials/client ⇒ honest SKIP,</w:t>
      </w:r>
      <w:r>
        <w:br/>
      </w:r>
      <w:r>
        <w:rPr>
          <w:rStyle w:val="VerbatimChar"/>
        </w:rPr>
        <w:t xml:space="preserve">   │              NEVER a faked push)</w:t>
      </w:r>
      <w:r>
        <w:br/>
      </w:r>
      <w:r>
        <w:rPr>
          <w:rStyle w:val="VerbatimChar"/>
        </w:rPr>
        <w:t xml:space="preserve">   └─(3) QUEUE  → append a row to the durable docs/requests/feature_queue.md</w:t>
      </w:r>
      <w:r>
        <w:br/>
      </w:r>
      <w:r>
        <w:rPr>
          <w:rStyle w:val="VerbatimChar"/>
        </w:rPr>
        <w:t xml:space="preserve">                  (mirrors the §11.4.140 BACKGROUND durable-queue pattern)</w:t>
      </w:r>
    </w:p>
    <w:p>
      <w:pPr>
        <w:pStyle w:val="FirstParagraph"/>
      </w:pPr>
      <w:r>
        <w:t xml:space="preserve">The multi-day research / planning / documentation work described INSIDE the</w:t>
      </w:r>
      <w:r>
        <w:t xml:space="preserve"> </w:t>
      </w:r>
      <w:r>
        <w:t xml:space="preserve">item is</w:t>
      </w:r>
      <w:r>
        <w:t xml:space="preserve"> </w:t>
      </w:r>
      <w:r>
        <w:rPr>
          <w:b/>
          <w:bCs/>
        </w:rPr>
        <w:t xml:space="preserve">not performed by this engine</w:t>
      </w:r>
      <w:r>
        <w:t xml:space="preserve">. It is performed LATER by the</w:t>
      </w:r>
      <w:r>
        <w:t xml:space="preserve"> </w:t>
      </w:r>
      <w:r>
        <w:t xml:space="preserve">project's standing autonomous loop (§11.4.87 / §11.4.94 / §11.4.97 /</w:t>
      </w:r>
      <w:r>
        <w:t xml:space="preserve"> </w:t>
      </w:r>
      <w:r>
        <w:t xml:space="preserve">§11.4.103 / §11.4.126) when it claims the item, driven to a genuinely</w:t>
      </w:r>
      <w:r>
        <w:t xml:space="preserve"> </w:t>
      </w:r>
      <w:r>
        <w:t xml:space="preserve">COMPLETED-and-wired or explicitly evidence-backed CLOSED terminal state under</w:t>
      </w:r>
      <w:r>
        <w:t xml:space="preserve"> </w:t>
      </w:r>
      <w:r>
        <w:t xml:space="preserve">the §11.4.197 research-completion mandate — a FEATURE item is NEVER left</w:t>
      </w:r>
      <w:r>
        <w:t xml:space="preserve"> </w:t>
      </w:r>
      <w:r>
        <w:t xml:space="preserve">sitting un-wired in the backlog.</w:t>
      </w:r>
    </w:p>
    <w:bookmarkEnd w:id="9"/>
    <w:bookmarkStart w:id="10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python3</w:t>
      </w:r>
      <w:r>
        <w:t xml:space="preserve"> </w:t>
      </w:r>
      <w:r>
        <w:t xml:space="preserve">(+PyYAML) — reads the consumer config and parses the delegate's</w:t>
      </w:r>
      <w:r>
        <w:t xml:space="preserve"> </w:t>
      </w:r>
      <w:r>
        <w:t xml:space="preserve">JSON result.</w:t>
      </w:r>
    </w:p>
    <w:p>
      <w:pPr>
        <w:pStyle w:val="Compact"/>
        <w:numPr>
          <w:ilvl w:val="0"/>
          <w:numId w:val="1001"/>
        </w:numPr>
      </w:pPr>
      <w:r>
        <w:t xml:space="preserve">The sibling</w:t>
      </w:r>
      <w:r>
        <w:t xml:space="preserve"> </w:t>
      </w:r>
      <w:r>
        <w:rPr>
          <w:rStyle w:val="VerbatimChar"/>
        </w:rPr>
        <w:t xml:space="preserve">constitution/scripts/reporting/report_item.sh</w:t>
      </w:r>
      <w:r>
        <w:t xml:space="preserve"> </w:t>
      </w:r>
      <w:r>
        <w:t xml:space="preserve">engine</w:t>
      </w:r>
      <w:r>
        <w:t xml:space="preserve"> </w:t>
      </w:r>
      <w:r>
        <w:t xml:space="preserve">(§11.4.202) — this engine DELEGATES to it rather than reimplementing</w:t>
      </w:r>
      <w:r>
        <w:t xml:space="preserve"> </w:t>
      </w:r>
      <w:r>
        <w:t xml:space="preserve">item-creation / DB-sync / tracker-push.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consumer-owned config</w:t>
      </w:r>
      <w:r>
        <w:t xml:space="preserve"> </w:t>
      </w:r>
      <w:r>
        <w:t xml:space="preserve">(the engine refuses to guess — §11.4.6):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.helix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constitution/scripts/feature/feature.example.yaml .helix/feature.yaml</w:t>
      </w:r>
      <w:r>
        <w:br/>
      </w:r>
      <w:r>
        <w:rPr>
          <w:rStyle w:val="VariableTok"/>
        </w:rPr>
        <w:t xml:space="preserve">$EDITOR</w:t>
      </w:r>
      <w:r>
        <w:rPr>
          <w:rStyle w:val="NormalTok"/>
        </w:rPr>
        <w:t xml:space="preserve"> .helix/feature.yaml     </w:t>
      </w:r>
      <w:r>
        <w:rPr>
          <w:rStyle w:val="CommentTok"/>
        </w:rPr>
        <w:t xml:space="preserve"># db, id_prefix, research_doc_root, sync_command, trackers</w:t>
      </w:r>
    </w:p>
    <w:p>
      <w:pPr>
        <w:pStyle w:val="FirstParagraph"/>
      </w:pPr>
      <w:r>
        <w:t xml:space="preserve">Search order:</w:t>
      </w:r>
      <w:r>
        <w:t xml:space="preserve"> </w:t>
      </w:r>
      <w:r>
        <w:rPr>
          <w:rStyle w:val="VerbatimChar"/>
        </w:rPr>
        <w:t xml:space="preserve">$HELIX_FEATURE_CONFIG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.helix/feature.yaml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config/feature/feature.yaml</w:t>
      </w:r>
      <w:r>
        <w:t xml:space="preserve">. The SAME file is schema-compatible with</w:t>
      </w:r>
      <w:r>
        <w:t xml:space="preserve"> </w:t>
      </w:r>
      <w:r>
        <w:rPr>
          <w:rStyle w:val="VerbatimChar"/>
        </w:rPr>
        <w:t xml:space="preserve">reporting.example.yaml</w:t>
      </w:r>
      <w:r>
        <w:t xml:space="preserve"> </w:t>
      </w:r>
      <w:r>
        <w:t xml:space="preserve">(§11.4.202) plus one addition,</w:t>
      </w:r>
      <w:r>
        <w:t xml:space="preserve"> </w:t>
      </w:r>
      <w:r>
        <w:rPr>
          <w:rStyle w:val="VerbatimChar"/>
        </w:rPr>
        <w:t xml:space="preserve">research_doc_root</w:t>
      </w:r>
      <w:r>
        <w:t xml:space="preserve"> </w:t>
      </w:r>
      <w:r>
        <w:t xml:space="preserve">— it is passed straight through to</w:t>
      </w:r>
      <w:r>
        <w:t xml:space="preserve"> </w:t>
      </w:r>
      <w:r>
        <w:rPr>
          <w:rStyle w:val="VerbatimChar"/>
        </w:rPr>
        <w:t xml:space="preserve">report_item.sh --config</w:t>
      </w:r>
      <w:r>
        <w:t xml:space="preserve">.</w:t>
      </w:r>
    </w:p>
    <w:bookmarkEnd w:id="10"/>
    <w:bookmarkStart w:id="11" w:name="usage-examples"/>
    <w:p>
      <w:pPr>
        <w:pStyle w:val="Heading2"/>
      </w:pPr>
      <w:r>
        <w:t xml:space="preserve">Usage examples</w:t>
      </w:r>
    </w:p>
    <w:p>
      <w:pPr>
        <w:pStyle w:val="SourceCode"/>
      </w:pPr>
      <w:r>
        <w:rPr>
          <w:rStyle w:val="CommentTok"/>
        </w:rPr>
        <w:t xml:space="preserve"># Schedule a feature research effort (Type=Task, Status=Queued):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constitution/scripts/feature/schedule_feature_research.sh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--description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'Add per-user configurable notification digest frequency (daily/weekly/off).'</w:t>
      </w:r>
      <w:r>
        <w:br/>
      </w:r>
      <w:r>
        <w:br/>
      </w:r>
      <w:r>
        <w:rPr>
          <w:rStyle w:val="CommentTok"/>
        </w:rPr>
        <w:t xml:space="preserve"># Preview without writing anything (no delegate invocation, no queue append):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constitution/scripts/feature/schedule_feature_research.sh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--description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'...'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  <w:r>
        <w:br/>
      </w:r>
      <w:r>
        <w:br/>
      </w:r>
      <w:r>
        <w:rPr>
          <w:rStyle w:val="CommentTok"/>
        </w:rPr>
        <w:t xml:space="preserve"># Explicit title + machine-readable result: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constitution/scripts/feature/schedule_feature_research.sh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--title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'Dark-mode theme toggle'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--description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'Add a dark-mode theme toggle to the settings screen.'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--json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--description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--description-file</w:t>
            </w:r>
            <w:r>
              <w:t xml:space="preserve"> </w:t>
            </w:r>
            <w:r>
              <w:t xml:space="preserve">/ stdin</w:t>
            </w:r>
          </w:p>
        </w:tc>
        <w:tc>
          <w:tcPr/>
          <w:p>
            <w:pPr>
              <w:pStyle w:val="Compact"/>
            </w:pPr>
            <w:r>
              <w:t xml:space="preserve">the feature description (in that precedence)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--title</w:t>
            </w:r>
          </w:p>
        </w:tc>
        <w:tc>
          <w:tcPr/>
          <w:p>
            <w:pPr>
              <w:pStyle w:val="Compact"/>
            </w:pPr>
            <w:r>
              <w:t xml:space="preserve">optional; derived from the description's first sentence when omitted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--severity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--reported-by</w:t>
            </w:r>
          </w:p>
        </w:tc>
        <w:tc>
          <w:tcPr/>
          <w:p>
            <w:pPr>
              <w:pStyle w:val="Compact"/>
            </w:pPr>
            <w:r>
              <w:t xml:space="preserve">optional; passed through to the delegate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--db</w:t>
            </w:r>
          </w:p>
        </w:tc>
        <w:tc>
          <w:tcPr/>
          <w:p>
            <w:pPr>
              <w:pStyle w:val="Compact"/>
            </w:pPr>
            <w:r>
              <w:t xml:space="preserve">optional overrides (else the search order above)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--no-sync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--no-tracker</w:t>
            </w:r>
          </w:p>
        </w:tc>
        <w:tc>
          <w:tcPr/>
          <w:p>
            <w:pPr>
              <w:pStyle w:val="Compact"/>
            </w:pPr>
            <w:r>
              <w:t xml:space="preserve">skip step 2's sync / tracker-push (passed through to the delegate)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--dry-run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--json</w:t>
            </w:r>
          </w:p>
        </w:tc>
        <w:tc>
          <w:tcPr/>
          <w:p>
            <w:pPr>
              <w:pStyle w:val="Compact"/>
            </w:pPr>
            <w:r>
              <w:t xml:space="preserve">preview / machine-readable result</w:t>
            </w:r>
          </w:p>
        </w:tc>
      </w:tr>
    </w:tbl>
    <w:bookmarkEnd w:id="11"/>
    <w:bookmarkStart w:id="12" w:name="edge-cases-all-honest-none-faked"/>
    <w:p>
      <w:pPr>
        <w:pStyle w:val="Heading2"/>
      </w:pPr>
      <w:r>
        <w:t xml:space="preserve">Edge cases (all honest, none faked)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Situation</w:t>
            </w:r>
          </w:p>
        </w:tc>
        <w:tc>
          <w:tcPr/>
          <w:p>
            <w:pPr>
              <w:pStyle w:val="Compact"/>
            </w:pPr>
            <w:r>
              <w:t xml:space="preserve">Behaviour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config found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Exit 2</w:t>
            </w:r>
            <w:r>
              <w:t xml:space="preserve"> </w:t>
            </w:r>
            <w:r>
              <w:t xml:space="preserve">with the template path. The engine never guesses your DB path / research-doc root (§11.4.6).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delegate (</w:t>
            </w:r>
            <w:r>
              <w:rPr>
                <w:rStyle w:val="VerbatimChar"/>
              </w:rPr>
              <w:t xml:space="preserve">report_item.sh</w:t>
            </w:r>
            <w:r>
              <w:t xml:space="preserve">) is missing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Exit 3</w:t>
            </w:r>
            <w:r>
              <w:t xml:space="preserve"> </w:t>
            </w:r>
            <w:r>
              <w:t xml:space="preserve">— FEATURE never falls back to reimplementing item-creation itself.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Item creation fails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Exit 4</w:t>
            </w:r>
            <w:r>
              <w:t xml:space="preserve">, propagated from the delegate; the FEATURE item was NOT created and NOT queued.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 command fails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Exit 5</w:t>
            </w:r>
            <w:r>
              <w:t xml:space="preserve">, propagated from the delegate; the item</w:t>
            </w:r>
            <w:r>
              <w:t xml:space="preserve"> </w:t>
            </w:r>
            <w:r>
              <w:rPr>
                <w:b/>
                <w:bCs/>
              </w:rPr>
              <w:t xml:space="preserve">IS</w:t>
            </w:r>
            <w:r>
              <w:t xml:space="preserve"> </w:t>
            </w:r>
            <w:r>
              <w:t xml:space="preserve">created and</w:t>
            </w:r>
            <w:r>
              <w:t xml:space="preserve"> </w:t>
            </w:r>
            <w:r>
              <w:rPr>
                <w:b/>
                <w:bCs/>
              </w:rPr>
              <w:t xml:space="preserve">IS</w:t>
            </w:r>
            <w:r>
              <w:t xml:space="preserve"> </w:t>
            </w:r>
            <w:r>
              <w:t xml:space="preserve">queued (the DB is the SSoT) — re-run the sync.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Tracker credentials unset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  <w:r>
              <w:t xml:space="preserve"> </w:t>
            </w:r>
            <w:r>
              <w:rPr>
                <w:rStyle w:val="VerbatimChar"/>
              </w:rPr>
              <w:t xml:space="preserve">SKIP</w:t>
            </w:r>
            <w:r>
              <w:t xml:space="preserve">, reason</w:t>
            </w:r>
            <w:r>
              <w:t xml:space="preserve"> </w:t>
            </w:r>
            <w:r>
              <w:rPr>
                <w:rStyle w:val="VerbatimChar"/>
              </w:rPr>
              <w:t xml:space="preserve">credentials_absent: unset env: NAME …</w:t>
            </w:r>
            <w:r>
              <w:t xml:space="preserve"> </w:t>
            </w:r>
            <w:r>
              <w:t xml:space="preserve">(via the delegate) —</w:t>
            </w:r>
            <w:r>
              <w:t xml:space="preserve"> </w:t>
            </w:r>
            <w:r>
              <w:rPr>
                <w:b/>
                <w:bCs/>
              </w:rPr>
              <w:t xml:space="preserve">variable names only, never values</w:t>
            </w:r>
            <w:r>
              <w:t xml:space="preserve"> </w:t>
            </w:r>
            <w:r>
              <w:t xml:space="preserve">(§11.4.10).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Tracker client not built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  <w:r>
              <w:t xml:space="preserve"> </w:t>
            </w:r>
            <w:r>
              <w:rPr>
                <w:rStyle w:val="VerbatimChar"/>
              </w:rPr>
              <w:t xml:space="preserve">SKIP</w:t>
            </w:r>
            <w:r>
              <w:t xml:space="preserve">, reason</w:t>
            </w:r>
            <w:r>
              <w:t xml:space="preserve"> </w:t>
            </w:r>
            <w:r>
              <w:rPr>
                <w:rStyle w:val="VerbatimChar"/>
              </w:rPr>
              <w:t xml:space="preserve">tracker_client_absent</w:t>
            </w:r>
            <w:r>
              <w:t xml:space="preserve"> </w:t>
            </w:r>
            <w:r>
              <w:t xml:space="preserve">(via the delegate).</w:t>
            </w:r>
          </w:p>
        </w:tc>
      </w:tr>
    </w:tbl>
    <w:p>
      <w:pPr>
        <w:pStyle w:val="BodyText"/>
      </w:pPr>
      <w:r>
        <w:t xml:space="preserve">A tracker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is recorded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after a real push command exits 0 —</w:t>
      </w:r>
      <w:r>
        <w:t xml:space="preserve"> </w:t>
      </w:r>
      <w:r>
        <w:t xml:space="preserve">inherited from the delegate, never reimplemented here.</w:t>
      </w:r>
    </w:p>
    <w:bookmarkEnd w:id="12"/>
    <w:bookmarkStart w:id="13" w:name="internal-behaviour"/>
    <w:p>
      <w:pPr>
        <w:pStyle w:val="Heading2"/>
      </w:pPr>
      <w:r>
        <w:t xml:space="preserve">Internal behaviour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Config</w:t>
      </w:r>
      <w:r>
        <w:t xml:space="preserve"> </w:t>
      </w:r>
      <w:r>
        <w:t xml:space="preserve">→ this engine reads only its OWN key (</w:t>
      </w:r>
      <w:r>
        <w:rPr>
          <w:rStyle w:val="VerbatimChar"/>
        </w:rPr>
        <w:t xml:space="preserve">research_doc_root</w:t>
      </w:r>
      <w:r>
        <w:t xml:space="preserve">,</w:t>
      </w:r>
      <w:r>
        <w:t xml:space="preserve"> </w:t>
      </w:r>
      <w:r>
        <w:t xml:space="preserve">default</w:t>
      </w:r>
      <w:r>
        <w:t xml:space="preserve"> </w:t>
      </w:r>
      <w:r>
        <w:rPr>
          <w:rStyle w:val="VerbatimChar"/>
        </w:rPr>
        <w:t xml:space="preserve">docs/research</w:t>
      </w:r>
      <w:r>
        <w:t xml:space="preserve">) +</w:t>
      </w:r>
      <w:r>
        <w:t xml:space="preserve"> </w:t>
      </w:r>
      <w:r>
        <w:rPr>
          <w:rStyle w:val="VerbatimChar"/>
        </w:rPr>
        <w:t xml:space="preserve">evidence_dir</w:t>
      </w:r>
      <w:r>
        <w:t xml:space="preserve">; every other key (</w:t>
      </w:r>
      <w:r>
        <w:rPr>
          <w:rStyle w:val="VerbatimChar"/>
        </w:rPr>
        <w:t xml:space="preserve">db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id_prefix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sync_command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trackers</w:t>
      </w:r>
      <w:r>
        <w:t xml:space="preserve"> </w:t>
      </w:r>
      <w:r>
        <w:t xml:space="preserve">/ …) is read independently by the</w:t>
      </w:r>
      <w:r>
        <w:t xml:space="preserve"> </w:t>
      </w:r>
      <w:r>
        <w:t xml:space="preserve">DELEGATED</w:t>
      </w:r>
      <w:r>
        <w:t xml:space="preserve"> </w:t>
      </w:r>
      <w:r>
        <w:rPr>
          <w:rStyle w:val="VerbatimChar"/>
        </w:rPr>
        <w:t xml:space="preserve">report_item.sh</w:t>
      </w:r>
      <w:r>
        <w:t xml:space="preserve"> </w:t>
      </w:r>
      <w:r>
        <w:t xml:space="preserve">from the SAME file.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Title + destination slug</w:t>
      </w:r>
      <w:r>
        <w:t xml:space="preserve"> </w:t>
      </w:r>
      <w:r>
        <w:t xml:space="preserve">→ derived from the description's first</w:t>
      </w:r>
      <w:r>
        <w:t xml:space="preserve"> </w:t>
      </w:r>
      <w:r>
        <w:t xml:space="preserve">sentence (mirrors</w:t>
      </w:r>
      <w:r>
        <w:t xml:space="preserve"> </w:t>
      </w:r>
      <w:r>
        <w:rPr>
          <w:rStyle w:val="VerbatimChar"/>
        </w:rPr>
        <w:t xml:space="preserve">report_item.sh</w:t>
      </w:r>
      <w:r>
        <w:t xml:space="preserve">); the destination is</w:t>
      </w:r>
      <w:r>
        <w:t xml:space="preserve"> </w:t>
      </w:r>
      <w:r>
        <w:rPr>
          <w:rStyle w:val="VerbatimChar"/>
        </w:rPr>
        <w:t xml:space="preserve">&lt;research_doc_root&gt;/&lt;slug&gt;_&lt;UTC-timestamp&gt;_&lt;PID&gt;/</w:t>
      </w:r>
      <w:r>
        <w:t xml:space="preserve"> </w:t>
      </w:r>
      <w:r>
        <w:t xml:space="preserve">— the trailing</w:t>
      </w:r>
      <w:r>
        <w:t xml:space="preserve"> </w:t>
      </w:r>
      <w:r>
        <w:rPr>
          <w:rStyle w:val="VerbatimChar"/>
        </w:rPr>
        <w:t xml:space="preserve">$$</w:t>
      </w:r>
      <w:r>
        <w:t xml:space="preserve"> </w:t>
      </w:r>
      <w:r>
        <w:t xml:space="preserve">(this process's PID) is a uniquifier: two identical-title requests</w:t>
      </w:r>
      <w:r>
        <w:t xml:space="preserve"> </w:t>
      </w:r>
      <w:r>
        <w:t xml:space="preserve">scheduled within the same second would otherwise collide on the same</w:t>
      </w:r>
      <w:r>
        <w:t xml:space="preserve"> </w:t>
      </w:r>
      <w:r>
        <w:rPr>
          <w:rStyle w:val="VerbatimChar"/>
        </w:rPr>
        <w:t xml:space="preserve">(slug, seconds-resolution timestamp)</w:t>
      </w:r>
      <w:r>
        <w:t xml:space="preserve"> </w:t>
      </w:r>
      <w:r>
        <w:t xml:space="preserve">key and record the SAME</w:t>
      </w:r>
      <w:r>
        <w:t xml:space="preserve"> </w:t>
      </w:r>
      <w:r>
        <w:t xml:space="preserve">research-doc destination on two distinct items; the PID is already</w:t>
      </w:r>
      <w:r>
        <w:t xml:space="preserve"> </w:t>
      </w:r>
      <w:r>
        <w:t xml:space="preserve">resolvable at zero cost and keeps the path human-readable.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Work program</w:t>
      </w:r>
      <w:r>
        <w:t xml:space="preserve"> </w:t>
      </w:r>
      <w:r>
        <w:t xml:space="preserve">→ the full §11.4.213 clause-(2) mandate ((a)–(k)) is</w:t>
      </w:r>
      <w:r>
        <w:t xml:space="preserve"> </w:t>
      </w:r>
      <w:r>
        <w:t xml:space="preserve">rendered verbatim and embedded into the report text passed to the</w:t>
      </w:r>
      <w:r>
        <w:t xml:space="preserve"> </w:t>
      </w:r>
      <w:r>
        <w:t xml:space="preserve">delegate, together with the destination path and the</w:t>
      </w:r>
      <w:r>
        <w:t xml:space="preserve"> </w:t>
      </w:r>
      <w:r>
        <w:t xml:space="preserve">scheduling-not-synchronous execution model.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Delegate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report_item.sh --kind task --title … --report … --scope … --acceptance … --config … --json</w:t>
      </w:r>
      <w:r>
        <w:t xml:space="preserve"> </w:t>
      </w:r>
      <w:r>
        <w:t xml:space="preserve">— the SAME engine §11.4.202 uses, so the</w:t>
      </w:r>
      <w:r>
        <w:t xml:space="preserve"> </w:t>
      </w:r>
      <w:r>
        <w:t xml:space="preserve">already-audited no-faked-push / decoupling / anti-bluff invariants are</w:t>
      </w:r>
      <w:r>
        <w:t xml:space="preserve"> </w:t>
      </w:r>
      <w:r>
        <w:t xml:space="preserve">inherited, never duplicated.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Queue</w:t>
      </w:r>
      <w:r>
        <w:t xml:space="preserve"> </w:t>
      </w:r>
      <w:r>
        <w:t xml:space="preserve">→ append one row to</w:t>
      </w:r>
      <w:r>
        <w:t xml:space="preserve"> </w:t>
      </w:r>
      <w:r>
        <w:rPr>
          <w:rStyle w:val="VerbatimChar"/>
        </w:rPr>
        <w:t xml:space="preserve">docs/requests/feature_queue.md</w:t>
      </w:r>
      <w:r>
        <w:t xml:space="preserve"> </w:t>
      </w:r>
      <w:r>
        <w:t xml:space="preserve">(created</w:t>
      </w:r>
      <w:r>
        <w:t xml:space="preserve"> </w:t>
      </w:r>
      <w:r>
        <w:t xml:space="preserve">with a header + §11.4.44 revision line on first use). The title is the</w:t>
      </w:r>
      <w:r>
        <w:t xml:space="preserve"> </w:t>
      </w:r>
      <w:r>
        <w:t xml:space="preserve">only user-influenced table cell; a literal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in it is escaped</w:t>
      </w:r>
      <w:r>
        <w:t xml:space="preserve"> </w:t>
      </w:r>
      <w:r>
        <w:t xml:space="preserve">(</w:t>
      </w:r>
      <w:r>
        <w:rPr>
          <w:rStyle w:val="VerbatimChar"/>
        </w:rPr>
        <w:t xml:space="preserve">\|</w:t>
      </w:r>
      <w:r>
        <w:t xml:space="preserve">) before the append so the row stays a well-formed 5-cell markdown</w:t>
      </w:r>
      <w:r>
        <w:t xml:space="preserve"> </w:t>
      </w:r>
      <w:r>
        <w:t xml:space="preserve">row (an unescaped pipe would otherwise shift Destination / Scheduled /</w:t>
      </w:r>
      <w:r>
        <w:t xml:space="preserve"> </w:t>
      </w:r>
      <w:r>
        <w:t xml:space="preserve">Status one column right) — the ITEM_ID / destination / timestamp /</w:t>
      </w:r>
      <w:r>
        <w:t xml:space="preserve"> </w:t>
      </w:r>
      <w:r>
        <w:t xml:space="preserve">literal</w:t>
      </w:r>
      <w:r>
        <w:t xml:space="preserve"> </w:t>
      </w:r>
      <w:r>
        <w:rPr>
          <w:rStyle w:val="VerbatimChar"/>
        </w:rPr>
        <w:t xml:space="preserve">Queued</w:t>
      </w:r>
      <w:r>
        <w:t xml:space="preserve"> </w:t>
      </w:r>
      <w:r>
        <w:t xml:space="preserve">cells are generated, never free-text, and need no</w:t>
      </w:r>
      <w:r>
        <w:t xml:space="preserve"> </w:t>
      </w:r>
      <w:r>
        <w:t xml:space="preserve">escaping.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Evidence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&lt;evidence_dir&gt;/&lt;id&gt;_&lt;ts&gt;/result.json</w:t>
      </w:r>
      <w:r>
        <w:t xml:space="preserve"> </w:t>
      </w:r>
      <w:r>
        <w:t xml:space="preserve">(this engine's own</w:t>
      </w:r>
      <w:r>
        <w:t xml:space="preserve"> </w:t>
      </w:r>
      <w:r>
        <w:t xml:space="preserve">summary, embedding the delegate's own</w:t>
      </w:r>
      <w:r>
        <w:t xml:space="preserve"> </w:t>
      </w:r>
      <w:r>
        <w:rPr>
          <w:rStyle w:val="VerbatimChar"/>
        </w:rPr>
        <w:t xml:space="preserve">report_item_result.json</w:t>
      </w:r>
      <w:r>
        <w:t xml:space="preserve"> </w:t>
      </w:r>
      <w:r>
        <w:t xml:space="preserve">verbatim)</w:t>
      </w:r>
      <w:r>
        <w:t xml:space="preserve"> </w:t>
      </w:r>
      <w:r>
        <w:t xml:space="preserve">(§11.4.5 / §11.4.69).</w:t>
      </w:r>
    </w:p>
    <w:bookmarkEnd w:id="13"/>
    <w:bookmarkStart w:id="14" w:name="decoupling-11428--114177"/>
    <w:p>
      <w:pPr>
        <w:pStyle w:val="Heading2"/>
      </w:pPr>
      <w:r>
        <w:t xml:space="preserve">Decoupling (§11.4.28 / §11.4.177)</w:t>
      </w:r>
    </w:p>
    <w:p>
      <w:pPr>
        <w:pStyle w:val="FirstParagraph"/>
      </w:pPr>
      <w:r>
        <w:t xml:space="preserve">The engine carries</w:t>
      </w:r>
      <w:r>
        <w:t xml:space="preserve"> </w:t>
      </w:r>
      <w:r>
        <w:rPr>
          <w:b/>
          <w:bCs/>
        </w:rPr>
        <w:t xml:space="preserve">zero project literals</w:t>
      </w:r>
      <w:r>
        <w:t xml:space="preserve"> </w:t>
      </w:r>
      <w:r>
        <w:t xml:space="preserve">and is inherited</w:t>
      </w:r>
      <w:r>
        <w:t xml:space="preserve"> </w:t>
      </w:r>
      <w:r>
        <w:rPr>
          <w:b/>
          <w:bCs/>
        </w:rPr>
        <w:t xml:space="preserve">by</w:t>
      </w:r>
      <w:r>
        <w:rPr>
          <w:b/>
          <w:bCs/>
        </w:rPr>
        <w:t xml:space="preserve"> </w:t>
      </w:r>
      <w:r>
        <w:rPr>
          <w:b/>
          <w:bCs/>
        </w:rPr>
        <w:t xml:space="preserve">reference</w:t>
      </w:r>
      <w:r>
        <w:t xml:space="preserve"> </w:t>
      </w:r>
      <w:r>
        <w:t xml:space="preserve">(never copied). Every project-specific value is consumer-owned</w:t>
      </w:r>
      <w:r>
        <w:t xml:space="preserve"> </w:t>
      </w:r>
      <w:r>
        <w:t xml:space="preserve">DATA. It also carries</w:t>
      </w:r>
      <w:r>
        <w:t xml:space="preserve"> </w:t>
      </w:r>
      <w:r>
        <w:rPr>
          <w:b/>
          <w:bCs/>
        </w:rPr>
        <w:t xml:space="preserve">zero duplicate item-creation / tracker-push logic</w:t>
      </w:r>
      <w:r>
        <w:t xml:space="preserve"> </w:t>
      </w:r>
      <w:r>
        <w:t xml:space="preserve">—</w:t>
      </w:r>
      <w:r>
        <w:t xml:space="preserve"> </w:t>
      </w:r>
      <w:r>
        <w:t xml:space="preserve">that machinery lives exactly once, in</w:t>
      </w:r>
      <w:r>
        <w:t xml:space="preserve"> </w:t>
      </w:r>
      <w:r>
        <w:rPr>
          <w:rStyle w:val="VerbatimChar"/>
        </w:rPr>
        <w:t xml:space="preserve">report_item.sh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CM-FEATURE-DIRECTIVE</w:t>
      </w:r>
      <w:r>
        <w:t xml:space="preserve"> </w:t>
      </w:r>
      <w:r>
        <w:t xml:space="preserve">gate enforces both invariants (a hardcoded project</w:t>
      </w:r>
      <w:r>
        <w:t xml:space="preserve"> </w:t>
      </w:r>
      <w:r>
        <w:t xml:space="preserve">literal, or a reimplemented tracker-push path, → gate FAILs).</w:t>
      </w:r>
    </w:p>
    <w:bookmarkEnd w:id="14"/>
    <w:bookmarkStart w:id="15" w:name="related"/>
    <w:p>
      <w:pPr>
        <w:pStyle w:val="Heading2"/>
      </w:pPr>
      <w:r>
        <w:t xml:space="preserve">Related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constitution/actions/registry.yaml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FEATURE</w:t>
            </w:r>
            <w:r>
              <w:t xml:space="preserve"> </w:t>
            </w:r>
            <w:r>
              <w:t xml:space="preserve">row + the shared §11.4.140 grammar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constitution/scripts/action_prefix_lib.sh</w:t>
            </w:r>
          </w:p>
        </w:tc>
        <w:tc>
          <w:tcPr/>
          <w:p>
            <w:pPr>
              <w:pStyle w:val="Compact"/>
            </w:pPr>
            <w:r>
              <w:t xml:space="preserve">the §11.4.140 parser (all six forms)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constitution/scripts/feature/feature.example.yaml</w:t>
            </w:r>
          </w:p>
        </w:tc>
        <w:tc>
          <w:tcPr/>
          <w:p>
            <w:pPr>
              <w:pStyle w:val="Compact"/>
            </w:pPr>
            <w:r>
              <w:t xml:space="preserve">the consumer config template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constitution/scripts/gates/cm_feature_directive.sh</w:t>
            </w:r>
          </w:p>
        </w:tc>
        <w:tc>
          <w:tcPr/>
          <w:p>
            <w:pPr>
              <w:pStyle w:val="Compact"/>
            </w:pPr>
            <w:r>
              <w:t xml:space="preserve">the pre-build gate (+ its §1.1 mutation test)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constitution/scripts/reporting/report_item.sh</w:t>
            </w:r>
          </w:p>
        </w:tc>
        <w:tc>
          <w:tcPr/>
          <w:p>
            <w:pPr>
              <w:pStyle w:val="Compact"/>
            </w:pPr>
            <w:r>
              <w:t xml:space="preserve">the DELEGATED §11.4.202 item-creation + full-sync engine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constitution/scripts/workable-items/</w:t>
            </w:r>
          </w:p>
        </w:tc>
        <w:tc>
          <w:tcPr/>
          <w:p>
            <w:pPr>
              <w:pStyle w:val="Compact"/>
            </w:pPr>
            <w:r>
              <w:t xml:space="preserve">the DB SSoT binary (§11.4.93)</w:t>
            </w:r>
          </w:p>
        </w:tc>
      </w:tr>
    </w:tbl>
    <w:p>
      <w:pPr>
        <w:pStyle w:val="BodyText"/>
      </w:pPr>
      <w:r>
        <w:rPr>
          <w:b/>
          <w:bCs/>
        </w:rPr>
        <w:t xml:space="preserve">Last verified:</w:t>
      </w:r>
      <w:r>
        <w:t xml:space="preserve"> </w:t>
      </w:r>
      <w:r>
        <w:t xml:space="preserve">2026-07-16 — end-to-end against a real temp SQLite DB</w:t>
      </w:r>
      <w:r>
        <w:t xml:space="preserve"> </w:t>
      </w:r>
      <w:r>
        <w:t xml:space="preserve">(via</w:t>
      </w:r>
      <w:r>
        <w:t xml:space="preserve"> </w:t>
      </w:r>
      <w:r>
        <w:rPr>
          <w:rStyle w:val="VerbatimChar"/>
        </w:rPr>
        <w:t xml:space="preserve">sqlite3 &lt;tmp&gt;.db &lt; schema.sql</w:t>
      </w:r>
      <w:r>
        <w:t xml:space="preserve">): a dry-run preview, three real items</w:t>
      </w:r>
      <w:r>
        <w:t xml:space="preserve"> </w:t>
      </w:r>
      <w:r>
        <w:t xml:space="preserve">created (</w:t>
      </w:r>
      <w:r>
        <w:rPr>
          <w:rStyle w:val="VerbatimChar"/>
        </w:rPr>
        <w:t xml:space="preserve">FTX-001</w:t>
      </w:r>
      <w:r>
        <w:t xml:space="preserve">/</w:t>
      </w:r>
      <w:r>
        <w:rPr>
          <w:rStyle w:val="VerbatimChar"/>
        </w:rPr>
        <w:t xml:space="preserve">FTX-002</w:t>
      </w:r>
      <w:r>
        <w:t xml:space="preserve">/</w:t>
      </w:r>
      <w:r>
        <w:rPr>
          <w:rStyle w:val="VerbatimChar"/>
        </w:rPr>
        <w:t xml:space="preserve">FTX-003</w:t>
      </w:r>
      <w:r>
        <w:t xml:space="preserve">) with the correct Type=Task /</w:t>
      </w:r>
      <w:r>
        <w:t xml:space="preserve"> </w:t>
      </w:r>
      <w:r>
        <w:t xml:space="preserve">Status=Queued, a configured tracker SKIPped honestly with</w:t>
      </w:r>
      <w:r>
        <w:t xml:space="preserve"> </w:t>
      </w:r>
      <w:r>
        <w:rPr>
          <w:rStyle w:val="VerbatimChar"/>
        </w:rPr>
        <w:t xml:space="preserve">credentials_absent</w:t>
      </w:r>
      <w:r>
        <w:t xml:space="preserve">, special characters (quotes / newlines / backslash) in</w:t>
      </w:r>
      <w:r>
        <w:t xml:space="preserve"> </w:t>
      </w:r>
      <w:r>
        <w:t xml:space="preserve">the description round-tripped correctly through the DB + the JSON evidence,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docs/requests/feature_queue.md</w:t>
      </w:r>
      <w:r>
        <w:t xml:space="preserve"> </w:t>
      </w:r>
      <w:r>
        <w:t xml:space="preserve">accumulated one row per scheduled</w:t>
      </w:r>
      <w:r>
        <w:t xml:space="preserve"> </w:t>
      </w:r>
      <w:r>
        <w:t xml:space="preserve">item — all throwaway artefacts removed after the run.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2026-10-11T22:26:39Z</dcterms:created>
  <dcterms:modified xsi:type="dcterms:W3CDTF">2026-10-11T22:26:39Z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