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esign-system-and-ui"/>
    <w:p>
      <w:pPr>
        <w:pStyle w:val="Heading1"/>
      </w:pPr>
      <w:r>
        <w:t xml:space="preserve">Design System And Ui</w:t>
      </w:r>
    </w:p>
    <w:bookmarkStart w:id="11" w:name="Xc18119afae14054549ee3758fc347de20403aa2"/>
    <w:p>
      <w:pPr>
        <w:pStyle w:val="Heading3"/>
      </w:pPr>
      <w:r>
        <w:t xml:space="preserve">§11.4.162 — OpenDesign UI design system mandate (User mandate, 2026-06-21)</w:t>
      </w:r>
    </w:p>
    <w:p>
      <w:pPr>
        <w:pStyle w:val="FirstParagraph"/>
      </w:pPr>
      <w:r>
        <w:rPr>
          <w:b/>
          <w:bCs/>
        </w:rPr>
        <w:t xml:space="preserve">Forensic anchor — direct user mandate (2026-06-21).</w:t>
      </w:r>
    </w:p>
    <w:p>
      <w:pPr>
        <w:pStyle w:val="BodyText"/>
      </w:pPr>
      <w:r>
        <w:rPr>
          <w:b/>
          <w:bCs/>
        </w:rPr>
        <w:t xml:space="preserve">The mandate.</w:t>
      </w:r>
      <w:r>
        <w:t xml:space="preserve"> </w:t>
      </w:r>
      <w:r>
        <w:t xml:space="preserve">Every project governed by this Constitution that produces user-facing interfaces (web, desktop, mobile, TUI, or any other surface classes the project supports per §11.4.25) MUST use</w:t>
      </w:r>
      <w:r>
        <w:t xml:space="preserve"> </w:t>
      </w:r>
      <w:r>
        <w:rPr>
          <w:b/>
          <w:bCs/>
        </w:rPr>
        <w:t xml:space="preserve">OpenDesign</w:t>
      </w:r>
      <w:r>
        <w:t xml:space="preserve"> </w:t>
      </w:r>
      <w:r>
        <w:t xml:space="preserve">(</w:t>
      </w:r>
      <w:hyperlink r:id="rId9">
        <w:r>
          <w:rPr>
            <w:rStyle w:val="Hyperlink"/>
          </w:rPr>
          <w:t xml:space="preserve">https://github.com/nexu-io/open-design</w:t>
        </w:r>
      </w:hyperlink>
      <w:r>
        <w:t xml:space="preserve">) as the mandatory UI design-and-refinement system — NOT ad-hoc CSS, not one-off design tools, not improvised inline styles, not a different design-token system. OpenDesign is consumed as a project dependency (npm package or equivalent per the consuming project's technology stack), never vendored or forked.</w:t>
      </w:r>
    </w:p>
    <w:p>
      <w:pPr>
        <w:pStyle w:val="BodyText"/>
      </w:pPr>
      <w:r>
        <w:rPr>
          <w:b/>
          <w:bCs/>
        </w:rPr>
        <w:t xml:space="preserve">Design tokens and theming.</w:t>
      </w:r>
      <w:r>
        <w:t xml:space="preserve"> </w:t>
      </w:r>
      <w:r>
        <w:t xml:space="preserve">The project MUST use OpenDesign's design tokens / themes system for:</w:t>
      </w:r>
    </w:p>
    <w:p>
      <w:pPr>
        <w:pStyle w:val="Compact"/>
        <w:numPr>
          <w:ilvl w:val="0"/>
          <w:numId w:val="1001"/>
        </w:numPr>
      </w:pPr>
      <w:r>
        <w:rPr>
          <w:b/>
          <w:bCs/>
        </w:rPr>
        <w:t xml:space="preserve">All color palette definitions</w:t>
      </w:r>
      <w:r>
        <w:t xml:space="preserve"> </w:t>
      </w:r>
      <w:r>
        <w:t xml:space="preserve">— supporting BOTH light and dark themes using the project's brand colors extracted from canonical brand assets (logo, style guides, brand guidelines per §11.4.35). Color tokens are defined in OpenDesign's token format, never duplicated in CSS custom properties or inline styles.</w:t>
      </w:r>
    </w:p>
    <w:p>
      <w:pPr>
        <w:pStyle w:val="Compact"/>
        <w:numPr>
          <w:ilvl w:val="0"/>
          <w:numId w:val="1001"/>
        </w:numPr>
      </w:pPr>
      <w:r>
        <w:rPr>
          <w:b/>
          <w:bCs/>
        </w:rPr>
        <w:t xml:space="preserve">Typography scale and spacing</w:t>
      </w:r>
      <w:r>
        <w:t xml:space="preserve"> </w:t>
      </w:r>
      <w:r>
        <w:t xml:space="preserve">— typefaces, font sizes, line heights, letter spacing, and content margin/padding tokens are defined in OpenDesign, consumed by every UI component, never scattered across individual component files.</w:t>
      </w:r>
    </w:p>
    <w:p>
      <w:pPr>
        <w:pStyle w:val="Compact"/>
        <w:numPr>
          <w:ilvl w:val="0"/>
          <w:numId w:val="1001"/>
        </w:numPr>
      </w:pPr>
      <w:r>
        <w:rPr>
          <w:b/>
          <w:bCs/>
        </w:rPr>
        <w:t xml:space="preserve">Component-level design tokens</w:t>
      </w:r>
      <w:r>
        <w:t xml:space="preserve"> </w:t>
      </w:r>
      <w:r>
        <w:t xml:space="preserve">— every reusable UI component (buttons, cards, dialogs, inputs, navigation elements, tables, modals, etc.) defines its tokens (border radius, shadow, hover/active/focus states, animation timing) in OpenDesign, not in component-specific stylesheets.</w:t>
      </w:r>
    </w:p>
    <w:p>
      <w:pPr>
        <w:pStyle w:val="FirstParagraph"/>
      </w:pPr>
      <w:r>
        <w:rPr>
          <w:b/>
          <w:bCs/>
        </w:rPr>
        <w:t xml:space="preserve">Extend, never reimplement.</w:t>
      </w:r>
      <w:r>
        <w:t xml:space="preserve"> </w:t>
      </w:r>
      <w:r>
        <w:t xml:space="preserve">If a desired UI pattern (a component, theme variant, token type, or rendering target) is not supported by OpenDesign, the project MUST extend OpenDesign upstream per §11.4.74 (extend-don't-reimplement) — submit a PR adding the missing capability rather than working around it with ad-hoc CSS or a different tool. A pattern worked around outside the design system is a §11.4.162 violation (it silently fragments the UI surface — the divergence grows over time and the shared design system no longer governs all UI output).</w:t>
      </w:r>
    </w:p>
    <w:p>
      <w:pPr>
        <w:pStyle w:val="BodyText"/>
      </w:pPr>
      <w:r>
        <w:rPr>
          <w:b/>
          <w:bCs/>
        </w:rPr>
        <w:t xml:space="preserve">Light+dark theme variants required.</w:t>
      </w:r>
      <w:r>
        <w:t xml:space="preserve"> </w:t>
      </w:r>
      <w:r>
        <w:t xml:space="preserve">Every UI component MUST ship with BOTH light and dark theme variants, with the color palette defined from the project's canonical brand assets (logo/brand assets per §11.4.35). A component that renders correctly only in one theme is a §11.4.162 violation — a project's surfaces MUST be usable in both modes on any platform that supports theme switching.</w:t>
      </w:r>
    </w:p>
    <w:p>
      <w:pPr>
        <w:pStyle w:val="BodyText"/>
      </w:pPr>
      <w:r>
        <w:rPr>
          <w:b/>
          <w:bCs/>
        </w:rPr>
        <w:t xml:space="preserve">Layout regression prohibition.</w:t>
      </w:r>
      <w:r>
        <w:t xml:space="preserve"> </w:t>
      </w:r>
      <w:r>
        <w:t xml:space="preserve">UI elements MUST NOT overlap, fonts MUST NOT collide with other UI elements or other text, labels MUST NOT overlay labels. Any layout regression — including but not limited to clipped text, overlapping controls, misaligned grids, overflow-hidden content, or incorrect z-ordering — is a §11.4.162 violation regardless of whether the underlying token change had good intent. The OpenDesign token-diff comparison is the primary regression-detection tool: token changes that produce layout regressions are caught by diffing the token set before and after the change, correlated with the project's visual regression tests.</w:t>
      </w:r>
    </w:p>
    <w:p>
      <w:pPr>
        <w:pStyle w:val="BodyText"/>
      </w:pPr>
      <w:r>
        <w:rPr>
          <w:b/>
          <w:bCs/>
        </w:rPr>
        <w:t xml:space="preserve">Test coverage.</w:t>
      </w:r>
      <w:r>
        <w:t xml:space="preserve"> </w:t>
      </w:r>
      <w:r>
        <w:t xml:space="preserve">All UI changes MUST be covered by the project's standard test types including visual regression tests (§11.4.4(b) layer 3) that capture before/after screenshots of every changed component/token, with per-pixel or perceptual-diff PASS/FAIL.</w:t>
      </w:r>
    </w:p>
    <w:p>
      <w:pPr>
        <w:pStyle w:val="BodyText"/>
      </w:pPr>
      <w:r>
        <w:rPr>
          <w:b/>
          <w:bCs/>
        </w:rPr>
        <w:t xml:space="preserve">Honest boundary (§11.4.6).</w:t>
      </w:r>
      <w:r>
        <w:t xml:space="preserve"> </w:t>
      </w:r>
      <w:r>
        <w:t xml:space="preserve">OpenDesign governs design tokens and theme definitions — it does NOT replace the project's functional testing (§11.4.27), accessibility testing (WCAG color contrast is still verified per §11.4.107), or the §11.4.48/§11.4.49 UI-driven and dual-approach testing methodology. A project that uses OpenDesign tokens but ships broken UI components is a §11.4.162 violation — the tool is mandatory, but using it correctly (tokens → components → tests → regressions) is equally mandatory.</w:t>
      </w:r>
    </w:p>
    <w:p>
      <w:pPr>
        <w:pStyle w:val="BodyText"/>
      </w:pPr>
      <w:r>
        <w:rPr>
          <w:b/>
          <w:bCs/>
        </w:rPr>
        <w:t xml:space="preserve">Composition.</w:t>
      </w:r>
      <w:r>
        <w:t xml:space="preserve"> </w:t>
      </w:r>
      <w:r>
        <w:t xml:space="preserve">§11.4.162 composes with §11.4.74 (extend-don't-reimplement — the rule for extending OpenDesign upstream), §11.4.25 (full-automation-coverage — UI components covered by every test type), §11.4.27 (no-fakes-beyond-unit — visual regression tests are real assertions, not mock screenshots), §11.4.4(b) (four-layer coverage includes visual regression at layer 3), §11.4.107 (accessibility/color-contrast assertions still apply), §11.4.48/§11.4.49 (UI-driven/dual-approach testing still applies), §11.4.35 (brand assets location and token-per-project instantiation), §11.4.6 (no-guessing — token configuration is declared, not inferred from appearance), §11.4.69 (visual regression evidence is captured per component).</w:t>
      </w:r>
    </w:p>
    <w:p>
      <w:pPr>
        <w:pStyle w:val="BodyText"/>
      </w:pPr>
      <w:r>
        <w:rPr>
          <w:b/>
          <w:bCs/>
        </w:rPr>
        <w:t xml:space="preserve">Gates.</w:t>
      </w:r>
      <w:r>
        <w:t xml:space="preserve"> </w:t>
      </w:r>
      <w:r>
        <w:t xml:space="preserve">Propagation gate</w:t>
      </w:r>
      <w:r>
        <w:t xml:space="preserve"> </w:t>
      </w:r>
      <w:r>
        <w:rPr>
          <w:rStyle w:val="VerbatimChar"/>
        </w:rPr>
        <w:t xml:space="preserve">CM-COVENANT-114-162-PROPAGATION</w:t>
      </w:r>
      <w:r>
        <w:t xml:space="preserve"> </w:t>
      </w:r>
      <w:r>
        <w:t xml:space="preserve">(literal</w:t>
      </w:r>
      <w:r>
        <w:t xml:space="preserve"> </w:t>
      </w:r>
      <w:r>
        <w:rPr>
          <w:rStyle w:val="VerbatimChar"/>
        </w:rPr>
        <w:t xml:space="preserve">11.4.162</w:t>
      </w:r>
      <w:r>
        <w:t xml:space="preserve">) + recommended gate</w:t>
      </w:r>
      <w:r>
        <w:t xml:space="preserve"> </w:t>
      </w:r>
      <w:r>
        <w:rPr>
          <w:rStyle w:val="VerbatimChar"/>
        </w:rPr>
        <w:t xml:space="preserve">CM-OPENDESIGN-UI-SYSTEM</w:t>
      </w:r>
      <w:r>
        <w:t xml:space="preserve"> </w:t>
      </w:r>
      <w:r>
        <w:t xml:space="preserve">(every UI-capable project has OpenDesign installed as a dependency, uses its token/theme system for all colors (light+dark), typography, spacing, and component tokens; extends OpenDesign upstream for unsupported patterns; no ad-hoc CSS-only UI; visual regression tests cover every UI change) + paired §1.1 meta-test mutation (replace a token-driven style with inline CSS → gate FAILs; ship a light-only component → gate FAILs; use a non-OpenDesign color tool → gate FAILs; gate-code = separate work item).</w:t>
      </w:r>
    </w:p>
    <w:p>
      <w:pPr>
        <w:pStyle w:val="BodyText"/>
      </w:pPr>
      <w:r>
        <w:rPr>
          <w:b/>
          <w:bCs/>
        </w:rPr>
        <w:t xml:space="preserve">Classification:</w:t>
      </w:r>
      <w:r>
        <w:t xml:space="preserve"> </w:t>
      </w:r>
      <w:r>
        <w:t xml:space="preserve">universal (§11.4.17) — the consuming project supplies its concrete OpenDesign package installation path, brand-asset location, token definitions file, component registry, and visual regression test harness per §11.4.35. No escape hatch — no</w:t>
      </w:r>
      <w:r>
        <w:t xml:space="preserve"> </w:t>
      </w:r>
      <w:r>
        <w:rPr>
          <w:rStyle w:val="VerbatimChar"/>
        </w:rPr>
        <w:t xml:space="preserve">--skip-opendesign</w:t>
      </w:r>
      <w:r>
        <w:t xml:space="preserve">,</w:t>
      </w:r>
      <w:r>
        <w:t xml:space="preserve"> </w:t>
      </w:r>
      <w:r>
        <w:rPr>
          <w:rStyle w:val="VerbatimChar"/>
        </w:rPr>
        <w:t xml:space="preserve">--ad-hoc-css-OK</w:t>
      </w:r>
      <w:r>
        <w:t xml:space="preserve">,</w:t>
      </w:r>
      <w:r>
        <w:t xml:space="preserve"> </w:t>
      </w:r>
      <w:r>
        <w:rPr>
          <w:rStyle w:val="VerbatimChar"/>
        </w:rPr>
        <w:t xml:space="preserve">--light-only-OK</w:t>
      </w:r>
      <w:r>
        <w:t xml:space="preserve">,</w:t>
      </w:r>
      <w:r>
        <w:t xml:space="preserve"> </w:t>
      </w:r>
      <w:r>
        <w:rPr>
          <w:rStyle w:val="VerbatimChar"/>
        </w:rPr>
        <w:t xml:space="preserve">--no-token-system</w:t>
      </w:r>
      <w:r>
        <w:t xml:space="preserve">,</w:t>
      </w:r>
      <w:r>
        <w:t xml:space="preserve"> </w:t>
      </w:r>
      <w:r>
        <w:rPr>
          <w:rStyle w:val="VerbatimChar"/>
        </w:rPr>
        <w:t xml:space="preserve">--no-visual-regression-tests</w:t>
      </w:r>
      <w:r>
        <w:t xml:space="preserve"> </w:t>
      </w:r>
      <w:r>
        <w:t xml:space="preserve">flag exists.</w:t>
      </w:r>
    </w:p>
    <w:p>
      <w:pPr>
        <w:pStyle w:val="BodyText"/>
      </w:pPr>
      <w:r>
        <w:rPr>
          <w:b/>
          <w:bCs/>
        </w:rPr>
        <w:t xml:space="preserve">§11.4.170 — Device-independent host-side rendered-UI visual-proof mandate (User mandate, 2026-06-25).</w:t>
      </w:r>
      <w:r>
        <w:t xml:space="preserve"> </w:t>
      </w:r>
      <w:r>
        <w:t xml:space="preserve">Verbatim operator escalation set (2026-06-25): "what this should represent, this uglyness!?!?!? UI we see does not purpos or sense at all! it is messed up with an giant button!" + "Eye candy stunning funcitonal UI and UX MUST BE prooven with full automation tests which 'see' everything visually with no issues, false results or bluff of any kind!!! So far, anti-bluff policy seems completely ignored!" Every change to any user-facing UI surface (screen / component / view / widget / layout / theme on any platform — Android-Compose, iOS-SwiftUI/UIKit, web, desktop, TUI) MUST be proven by</w:t>
      </w:r>
      <w:r>
        <w:t xml:space="preserve"> </w:t>
      </w:r>
      <w:r>
        <w:rPr>
          <w:b/>
          <w:bCs/>
        </w:rPr>
        <w:t xml:space="preserve">device-independent host-side RENDERED PIXELS</w:t>
      </w:r>
      <w:r>
        <w:t xml:space="preserve"> </w:t>
      </w:r>
      <w:r>
        <w:t xml:space="preserve">before it may be claimed correct: the actual component rendered to an image ON THE HOST (NO device, NO emulator, NO running app required) via a host-render harness (Compose → Roborazzi/Paparazzi on the JVM; web → Playwright/Storybook snapshot; SwiftUI → snapshot-testing; equivalent per stack), for EVERY relevant</w:t>
      </w:r>
      <w:r>
        <w:t xml:space="preserve"> </w:t>
      </w:r>
      <w:r>
        <w:rPr>
          <w:rStyle w:val="VerbatimChar"/>
        </w:rPr>
        <w:t xml:space="preserve">screen × state × {light,dark} theme</w:t>
      </w:r>
      <w:r>
        <w:t xml:space="preserve"> </w:t>
      </w:r>
      <w:r>
        <w:t xml:space="preserve">combination, with the produced PNG validated by BOTH (i)</w:t>
      </w:r>
      <w:r>
        <w:t xml:space="preserve"> </w:t>
      </w:r>
      <w:r>
        <w:rPr>
          <w:b/>
          <w:bCs/>
        </w:rPr>
        <w:t xml:space="preserve">image-diff against an approved golden</w:t>
      </w:r>
      <w:r>
        <w:t xml:space="preserve"> </w:t>
      </w:r>
      <w:r>
        <w:t xml:space="preserve">(per-pixel or perceptual-diff PASS/FAIL) AND (ii) an</w:t>
      </w:r>
      <w:r>
        <w:t xml:space="preserve"> </w:t>
      </w:r>
      <w:r>
        <w:rPr>
          <w:b/>
          <w:bCs/>
        </w:rPr>
        <w:t xml:space="preserve">OCR / vision oracle</w:t>
      </w:r>
      <w:r>
        <w:t xml:space="preserve"> </w:t>
      </w:r>
      <w:r>
        <w:t xml:space="preserve">that reads the rendered text + labels + control bounds to assert legibility + NO element overlap / NO label-over-label / NO clipping / NO off-screen control / NO collapsed-or-giant unbounded widget (the §11.4.162 layout invariants, here PROVEN on real pixels not asserted on tokens).</w:t>
      </w:r>
      <w:r>
        <w:t xml:space="preserve"> </w:t>
      </w:r>
      <w:r>
        <w:rPr>
          <w:b/>
          <w:bCs/>
        </w:rPr>
        <w:t xml:space="preserve">The forbidden bluff (forensic anchor, FACT 2026-06-25):</w:t>
      </w:r>
      <w:r>
        <w:t xml:space="preserve"> </w:t>
      </w:r>
      <w:r>
        <w:t xml:space="preserve">UI work was "validated" by VALUE-EQUALITY unit tests (asserting a hex colour string, an</w:t>
      </w:r>
      <w:r>
        <w:t xml:space="preserve"> </w:t>
      </w:r>
      <w:r>
        <w:rPr>
          <w:rStyle w:val="VerbatimChar"/>
        </w:rPr>
        <w:t xml:space="preserve">sp</w:t>
      </w:r>
      <w:r>
        <w:t xml:space="preserve">/</w:t>
      </w:r>
      <w:r>
        <w:rPr>
          <w:rStyle w:val="VerbatimChar"/>
        </w:rPr>
        <w:t xml:space="preserve">dp</w:t>
      </w:r>
      <w:r>
        <w:t xml:space="preserve"> </w:t>
      </w:r>
      <w:r>
        <w:t xml:space="preserve">size integer, a design-token field equals an expected constant) that NEVER RENDERED A SINGLE PIXEL — every such test was GREEN while the operator opened the running screen and saw a broken, unbounded giant-button layout. A value-equality / token-equality / property-assertion UI test is therefore FORBIDDEN as the</w:t>
      </w:r>
      <w:r>
        <w:t xml:space="preserve"> </w:t>
      </w:r>
      <w:r>
        <w:rPr>
          <w:i/>
          <w:iCs/>
        </w:rPr>
        <w:t xml:space="preserve">proof</w:t>
      </w:r>
      <w:r>
        <w:t xml:space="preserve"> </w:t>
      </w:r>
      <w:r>
        <w:t xml:space="preserve">a UI is correct (it may SUPPLEMENT — confirming a token's wiring — but NEVER SUBSTITUTE for the rendered-pixel proof); a "green" UI suite that contains no rendered-pixel artefact for the changed surface is a §11.4 PASS-bluff at the visual layer, severity-equivalent to a metadata-only PASS. The mandate (ALL hold): (1)</w:t>
      </w:r>
      <w:r>
        <w:t xml:space="preserve"> </w:t>
      </w:r>
      <w:r>
        <w:rPr>
          <w:b/>
          <w:bCs/>
        </w:rPr>
        <w:t xml:space="preserve">rendered-pixel proof per screen × state × theme</w:t>
      </w:r>
      <w:r>
        <w:t xml:space="preserve">, device-independent, runnable in CI on EVERY commit with zero hardware (that is the whole point of host-side rendering — it is NOT subject to device availability); (2)</w:t>
      </w:r>
      <w:r>
        <w:t xml:space="preserve"> </w:t>
      </w:r>
      <w:r>
        <w:rPr>
          <w:b/>
          <w:bCs/>
        </w:rPr>
        <w:t xml:space="preserve">dual oracle</w:t>
      </w:r>
      <w:r>
        <w:t xml:space="preserve"> </w:t>
      </w:r>
      <w:r>
        <w:t xml:space="preserve">— golden image-diff AND OCR/vision content+layout oracle, both required, each PASS citing the captured PNG + diff artefact path per §11.4.5/§11.4.69; (3)</w:t>
      </w:r>
      <w:r>
        <w:t xml:space="preserve"> </w:t>
      </w:r>
      <w:r>
        <w:rPr>
          <w:b/>
          <w:bCs/>
        </w:rPr>
        <w:t xml:space="preserve">value-only UI claims FORBIDDEN as proof</w:t>
      </w:r>
      <w:r>
        <w:t xml:space="preserve"> </w:t>
      </w:r>
      <w:r>
        <w:t xml:space="preserve">— a UI change with no rendered-pixel artefact for its surface is a finding (§11.4.4 test-interrupt → render → fix → re-render GREEN); (4)</w:t>
      </w:r>
      <w:r>
        <w:t xml:space="preserve"> </w:t>
      </w:r>
      <w:r>
        <w:rPr>
          <w:b/>
          <w:bCs/>
        </w:rPr>
        <w:t xml:space="preserve">self-validated analyzer</w:t>
      </w:r>
      <w:r>
        <w:t xml:space="preserve"> </w:t>
      </w:r>
      <w:r>
        <w:t xml:space="preserve">— the image-diff + OCR oracle is golden-good/golden-bad calibrated per §11.4.107(10) (a golden-bad fixture seeded with overlapping labels / a clipped control / an unbounded button MUST FAIL, else the analyzer is itself a bluff gate), thresholds calibrated on the project's OWN fixtures not hardcoded from literature (§11.4.6); (5)</w:t>
      </w:r>
      <w:r>
        <w:t xml:space="preserve"> </w:t>
      </w:r>
      <w:r>
        <w:rPr>
          <w:b/>
          <w:bCs/>
        </w:rPr>
        <w:t xml:space="preserve">"device offline" is NEVER a valid skip</w:t>
      </w:r>
      <w:r>
        <w:t xml:space="preserve"> </w:t>
      </w:r>
      <w:r>
        <w:t xml:space="preserve">for this proof — host-render is precisely the device-independent path; an honest §11.4.3 SKIP applies ONLY where the platform genuinely has no host-render harness (a tracked migration item, never a silent gap or a value-only fallback). Honest boundary (§11.4.6): host-render proves the COMPONENT renders correctly device-independently on every commit — it does NOT prove the running app on real hardware (that remains §11.4.153/§11.4.158/§11.4.159/§11.4.160's live-device recording + read-the-screen layer, which §11.4.170 COMPLEMENTS not replaces — the two layers are both mandatory: host-render for per-commit device-free coverage, live-recording for end-to-end on-device confirmation), does NOT replace §11.4.162's OpenDesign token/theme governance (§11.4.170 PROVES the rendered RESULT of those tokens), and is a DISTINCT artifact class from §11.4.168's exported-document visual validation. Classification: universal (§11.4.17) — the consuming project supplies its concrete host-render harness, golden corpus, screen×state×theme matrix, and OCR/vision thresholds per §11.4.35. Composes §11.4.3/§11.4.5/§11.4.27/§11.4.40/§11.4.69/§11.4.107/§11.4.108/§11.4.117/§11.4.153/§11.4.158/§11.4.159/§11.4.160/§11.4.162/§11.4.163/§11.4.168/§11.4.169/§1.1. Propagation gate</w:t>
      </w:r>
      <w:r>
        <w:t xml:space="preserve"> </w:t>
      </w:r>
      <w:r>
        <w:rPr>
          <w:rStyle w:val="VerbatimChar"/>
        </w:rPr>
        <w:t xml:space="preserve">CM-COVENANT-114-170-PROPAGATION</w:t>
      </w:r>
      <w:r>
        <w:t xml:space="preserve"> </w:t>
      </w:r>
      <w:r>
        <w:t xml:space="preserve">(literal</w:t>
      </w:r>
      <w:r>
        <w:t xml:space="preserve"> </w:t>
      </w:r>
      <w:r>
        <w:rPr>
          <w:rStyle w:val="VerbatimChar"/>
        </w:rPr>
        <w:t xml:space="preserve">11.4.170</w:t>
      </w:r>
      <w:r>
        <w:t xml:space="preserve">) + recommended gate</w:t>
      </w:r>
      <w:r>
        <w:t xml:space="preserve"> </w:t>
      </w:r>
      <w:r>
        <w:rPr>
          <w:rStyle w:val="VerbatimChar"/>
        </w:rPr>
        <w:t xml:space="preserve">CM-HOST-RENDERED-UI-VISUAL-PROOF</w:t>
      </w:r>
      <w:r>
        <w:t xml:space="preserve"> </w:t>
      </w:r>
      <w:r>
        <w:t xml:space="preserve">(every changed UI surface carries a device-independent host-rendered PNG per screen×state×theme, dual-oracle-validated, run on every commit; a UI change proven only by value/token-equality assertions FAILs) + paired §1.1 meta-test mutation (strip the literal → propagation gate FAILs; accept a UI change whose only proof is a value-equality assertion / a golden-bad overlapping-label fixture that PASSes →</w:t>
      </w:r>
      <w:r>
        <w:t xml:space="preserve"> </w:t>
      </w:r>
      <w:r>
        <w:rPr>
          <w:rStyle w:val="VerbatimChar"/>
        </w:rPr>
        <w:t xml:space="preserve">CM-HOST-RENDERED-UI-VISUAL-PROOF</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§11.4.170. Non-compliance is a release blocker. No escape hatch — no</w:t>
      </w:r>
      <w:r>
        <w:t xml:space="preserve"> </w:t>
      </w:r>
      <w:r>
        <w:rPr>
          <w:rStyle w:val="VerbatimChar"/>
        </w:rPr>
        <w:t xml:space="preserve">--value-assertion-proves-ui</w:t>
      </w:r>
      <w:r>
        <w:t xml:space="preserve">,</w:t>
      </w:r>
      <w:r>
        <w:t xml:space="preserve"> </w:t>
      </w:r>
      <w:r>
        <w:rPr>
          <w:rStyle w:val="VerbatimChar"/>
        </w:rPr>
        <w:t xml:space="preserve">--skip-rendered-pixel-proof</w:t>
      </w:r>
      <w:r>
        <w:t xml:space="preserve">,</w:t>
      </w:r>
      <w:r>
        <w:t xml:space="preserve"> </w:t>
      </w:r>
      <w:r>
        <w:rPr>
          <w:rStyle w:val="VerbatimChar"/>
        </w:rPr>
        <w:t xml:space="preserve">--token-equality-suffices</w:t>
      </w:r>
      <w:r>
        <w:t xml:space="preserve">,</w:t>
      </w:r>
      <w:r>
        <w:t xml:space="preserve"> </w:t>
      </w:r>
      <w:r>
        <w:rPr>
          <w:rStyle w:val="VerbatimChar"/>
        </w:rPr>
        <w:t xml:space="preserve">--device-offline-skip-visual</w:t>
      </w:r>
      <w:r>
        <w:t xml:space="preserve">,</w:t>
      </w:r>
      <w:r>
        <w:t xml:space="preserve"> </w:t>
      </w:r>
      <w:r>
        <w:rPr>
          <w:rStyle w:val="VerbatimChar"/>
        </w:rPr>
        <w:t xml:space="preserve">--single-theme-only</w:t>
      </w:r>
      <w:r>
        <w:t xml:space="preserve">,</w:t>
      </w:r>
      <w:r>
        <w:t xml:space="preserve"> </w:t>
      </w:r>
      <w:r>
        <w:rPr>
          <w:rStyle w:val="VerbatimChar"/>
        </w:rPr>
        <w:t xml:space="preserve">--unvalidated-image-diff-OK</w:t>
      </w:r>
      <w:r>
        <w:t xml:space="preserve">,</w:t>
      </w:r>
      <w:r>
        <w:t xml:space="preserve"> </w:t>
      </w:r>
      <w:r>
        <w:rPr>
          <w:rStyle w:val="VerbatimChar"/>
        </w:rPr>
        <w:t xml:space="preserve">--no-ocr-layout-oracle</w:t>
      </w:r>
      <w:r>
        <w:t xml:space="preserve"> </w:t>
      </w:r>
      <w:r>
        <w:t xml:space="preserve">flag.</w:t>
      </w:r>
    </w:p>
    <w:p>
      <w:r>
        <w:pict>
          <v:rect style="width:0;height:1.5pt" o:hralign="center" o:hrstd="t" o:hr="t"/>
        </w:pict>
      </w:r>
    </w:p>
    <w:bookmarkEnd w:id="11"/>
    <w:bookmarkStart w:id="20" w:name="Xe717198b76195d465506e7816b94161f2967790"/>
    <w:p>
      <w:pPr>
        <w:pStyle w:val="Heading2"/>
      </w:pPr>
      <w:r>
        <w:t xml:space="preserve">§12. Host-session safety — directly OR indirectly signing the user out is FORBIDDEN</w:t>
      </w:r>
    </w:p>
    <w:p>
      <w:pPr>
        <w:pStyle w:val="FirstParagraph"/>
      </w:pPr>
      <w:r>
        <w:t xml:space="preserve">Every script, test, helper, and AI agent governed by this</w:t>
      </w:r>
      <w:r>
        <w:t xml:space="preserve"> </w:t>
      </w:r>
      <w:r>
        <w:t xml:space="preserve">Constitution MUST respect host-session safety. Non-compliance is a</w:t>
      </w:r>
      <w:r>
        <w:t xml:space="preserve"> </w:t>
      </w:r>
      <w:r>
        <w:t xml:space="preserve">release blocker.</w:t>
      </w:r>
    </w:p>
    <w:p>
      <w:pPr>
        <w:pStyle w:val="BodyText"/>
      </w:pPr>
      <w:r>
        <w:rPr>
          <w:b/>
          <w:bCs/>
        </w:rPr>
        <w:t xml:space="preserve">§11.4.190 — Website engineering-quality mandate: every project website MUST be fully responsive + completely SEO-optimized + uniquely OpenDesign-authored + bleeding-edge enterprise-quality, each PROVEN with captured evidence (User mandate, 2026-07-10).</w:t>
      </w:r>
      <w:r>
        <w:t xml:space="preserve"> </w:t>
      </w:r>
      <w:r>
        <w:t xml:space="preserve">Verbatim operator mandate: "every website we create inside our projects MUST BE fully responsive - working on all browsers, all operating systems, all platforms and all devices and screen sizes! Every Website MUST BE completely SEO optimized! Layouts and templates done MUST BE unique and everything fully designed from OpenDesign! Make sure this applies to our project Website as well! Everything must be bleeding-edge enterprise quality, stunning visual look and feel, innovative, creative and unique! There MUST BE no false or faulty result or bluff of any kind anywhere!" Every website / web-UI surface a project ships — INCLUDING this project's OWN website — MUST satisfy AND PROVE with captured physical evidence (§11.4.5/§11.4.69/§11.4.107/§11.4.170 — never a bare claim, §11.4.6) ALL of:</w:t>
      </w:r>
      <w:r>
        <w:t xml:space="preserve"> </w:t>
      </w:r>
      <w:r>
        <w:rPr>
          <w:b/>
          <w:bCs/>
        </w:rPr>
        <w:t xml:space="preserve">(A) FULL RESPONSIVENESS</w:t>
      </w:r>
      <w:r>
        <w:t xml:space="preserve"> </w:t>
      </w:r>
      <w:r>
        <w:t xml:space="preserve">— correct, usable rendering across ALL major browser engines (Chromium/Firefox/WebKit), all operating systems, all device classes (desktop/laptop/tablet/phone/large-display) and the full range of screen sizes/orientations/pixel-densities; NO broken layout / overflow / clipping / overlap / off-screen or unusable control at ANY breakpoint.</w:t>
      </w:r>
      <w:r>
        <w:t xml:space="preserve"> </w:t>
      </w:r>
      <w:r>
        <w:rPr>
          <w:b/>
          <w:bCs/>
        </w:rPr>
        <w:t xml:space="preserve">(B) COMPLETE SEO OPTIMIZATION</w:t>
      </w:r>
      <w:r>
        <w:t xml:space="preserve"> </w:t>
      </w:r>
      <w:r>
        <w:t xml:space="preserve">— semantic HTML + correct document outline; per-page unique</w:t>
      </w:r>
      <w:r>
        <w:t xml:space="preserve"> </w:t>
      </w:r>
      <w:r>
        <w:rPr>
          <w:rStyle w:val="VerbatimChar"/>
        </w:rPr>
        <w:t xml:space="preserve">&lt;title&gt;</w:t>
      </w:r>
      <w:r>
        <w:t xml:space="preserve"> </w:t>
      </w:r>
      <w:r>
        <w:t xml:space="preserve">+ meta description; Open Graph + Twitter cards; canonical URLs; structured data (schema.org / JSON-LD);</w:t>
      </w:r>
      <w:r>
        <w:t xml:space="preserve"> </w:t>
      </w:r>
      <w:r>
        <w:rPr>
          <w:rStyle w:val="VerbatimChar"/>
        </w:rPr>
        <w:t xml:space="preserve">robots</w:t>
      </w:r>
      <w:r>
        <w:t xml:space="preserve"> </w:t>
      </w:r>
      <w:r>
        <w:t xml:space="preserve">+ XML sitemap; crawlable / indexable markup; WCAG AA accessibility + Core Web Vitals performance (both feed ranking).</w:t>
      </w:r>
      <w:r>
        <w:t xml:space="preserve"> </w:t>
      </w:r>
      <w:r>
        <w:rPr>
          <w:b/>
          <w:bCs/>
        </w:rPr>
        <w:t xml:space="preserve">(C) UNIQUE OpenDesign-AUTHORED templates/layouts</w:t>
      </w:r>
      <w:r>
        <w:t xml:space="preserve"> </w:t>
      </w:r>
      <w:r>
        <w:t xml:space="preserve">— EVERY layout + template designed FROM the OpenDesign design-token system (§11.4.162), NOT generic / off-the-shelf / templated; visually unique, innovative, creative, brand-distinct.</w:t>
      </w:r>
      <w:r>
        <w:t xml:space="preserve"> </w:t>
      </w:r>
      <w:r>
        <w:rPr>
          <w:b/>
          <w:bCs/>
        </w:rPr>
        <w:t xml:space="preserve">(D) BLEEDING-EDGE ENTERPRISE VISUAL QUALITY</w:t>
      </w:r>
      <w:r>
        <w:t xml:space="preserve"> </w:t>
      </w:r>
      <w:r>
        <w:t xml:space="preserve">— stunning, polished, professional look-and-feel in BOTH light AND dark themes (§11.4.162 tokens).</w:t>
      </w:r>
      <w:r>
        <w:t xml:space="preserve"> </w:t>
      </w:r>
      <w:r>
        <w:rPr>
          <w:b/>
          <w:bCs/>
        </w:rPr>
        <w:t xml:space="preserve">(E) ANTI-BLUFF PROOF</w:t>
      </w:r>
      <w:r>
        <w:t xml:space="preserve"> </w:t>
      </w:r>
      <w:r>
        <w:t xml:space="preserve">— NONE of (A)–(D) may be CLAIMED without captured physical evidence: responsiveness PROVEN by device-independent host-rendered screenshots across the real breakpoint × engine matrix + an OCR/vision layout oracle (no overlap / label-over-label / clip / overflow / off-screen); SEO PROVEN by an automated audit (Lighthouse SEO + structured-data validation + meta / OG / sitemap / robots presence) meeting a defined score floor; visual quality PROVEN by the §11.4.170 device-independent host-rendered pixel proof per screen × state × {light,dark}; uniqueness PROVEN by OpenDesign-token provenance. A website reported responsive / SEO-optimized / unique / enterprise-quality WITHOUT these captured proofs is a §11.4 PASS-bluff at the web-UI layer. §11.4.190 is the strict WEB-quality expansion of §11.4.162 (OpenDesign — it applies §11.4.162's design-token mandate to the full responsive + SEO + enterprise-quality web surface) and binds §11.4.170's device-independent host-rendered pixel proof as the correctness oracle; sibling of §11.4.168 (exported-document independent visual validation) at the web-UI layer. Classification: universal (§11.4.17) — references no project-specific hardware; the consuming project supplies its concrete breakpoint × engine matrix, SEO score-floor, and OpenDesign token set per §11.4.35. Composes §11.4.5/§11.4.6/§11.4.69/§11.4.107/§11.4.162/§11.4.168/§11.4.170. Propagation gate</w:t>
      </w:r>
      <w:r>
        <w:t xml:space="preserve"> </w:t>
      </w:r>
      <w:r>
        <w:rPr>
          <w:rStyle w:val="VerbatimChar"/>
        </w:rPr>
        <w:t xml:space="preserve">CM-COVENANT-114-190-PROPAGATION</w:t>
      </w:r>
      <w:r>
        <w:t xml:space="preserve"> </w:t>
      </w:r>
      <w:r>
        <w:t xml:space="preserve">(literal</w:t>
      </w:r>
      <w:r>
        <w:t xml:space="preserve"> </w:t>
      </w:r>
      <w:r>
        <w:rPr>
          <w:rStyle w:val="VerbatimChar"/>
        </w:rPr>
        <w:t xml:space="preserve">11.4.190</w:t>
      </w:r>
      <w:r>
        <w:t xml:space="preserve">) + recommended gates</w:t>
      </w:r>
      <w:r>
        <w:t xml:space="preserve"> </w:t>
      </w:r>
      <w:r>
        <w:rPr>
          <w:rStyle w:val="VerbatimChar"/>
        </w:rPr>
        <w:t xml:space="preserve">CM-WEBSITE-RESPONSIVE-PROVEN</w:t>
      </w:r>
      <w:r>
        <w:t xml:space="preserve"> </w:t>
      </w:r>
      <w:r>
        <w:t xml:space="preserve">(host-rendered screenshots across the breakpoint × engine matrix + layout oracle — no overlap/clip/overflow/off-screen) /</w:t>
      </w:r>
      <w:r>
        <w:t xml:space="preserve"> </w:t>
      </w:r>
      <w:r>
        <w:rPr>
          <w:rStyle w:val="VerbatimChar"/>
        </w:rPr>
        <w:t xml:space="preserve">CM-WEBSITE-SEO-OPTIMIZED</w:t>
      </w:r>
      <w:r>
        <w:t xml:space="preserve"> </w:t>
      </w:r>
      <w:r>
        <w:t xml:space="preserve">(automated SEO audit meets the score floor + structured-data / meta / OG / sitemap / robots present) /</w:t>
      </w:r>
      <w:r>
        <w:t xml:space="preserve"> </w:t>
      </w:r>
      <w:r>
        <w:rPr>
          <w:rStyle w:val="VerbatimChar"/>
        </w:rPr>
        <w:t xml:space="preserve">CM-WEBSITE-OPENDESIGN-UNIQUE</w:t>
      </w:r>
      <w:r>
        <w:t xml:space="preserve"> </w:t>
      </w:r>
      <w:r>
        <w:t xml:space="preserve">(every layout/template's OpenDesign-token provenance, no generic/off-the-shelf template) + paired §1.1 mutation (report a website responsive/SEO/unique/enterprise-quality with NO captured proof, OR ship a generic non-OpenDesign template, OR skip the light/dark host-rendered pixel proof → the recommended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§11.4.190. Non-compliance is a release blocker. No escape hatch — no</w:t>
      </w:r>
      <w:r>
        <w:t xml:space="preserve"> </w:t>
      </w:r>
      <w:r>
        <w:rPr>
          <w:rStyle w:val="VerbatimChar"/>
        </w:rPr>
        <w:t xml:space="preserve">--skip-responsive-proof</w:t>
      </w:r>
      <w:r>
        <w:t xml:space="preserve">,</w:t>
      </w:r>
      <w:r>
        <w:t xml:space="preserve"> </w:t>
      </w:r>
      <w:r>
        <w:rPr>
          <w:rStyle w:val="VerbatimChar"/>
        </w:rPr>
        <w:t xml:space="preserve">--seo-optional</w:t>
      </w:r>
      <w:r>
        <w:t xml:space="preserve">,</w:t>
      </w:r>
      <w:r>
        <w:t xml:space="preserve"> </w:t>
      </w:r>
      <w:r>
        <w:rPr>
          <w:rStyle w:val="VerbatimChar"/>
        </w:rPr>
        <w:t xml:space="preserve">--generic-template-OK</w:t>
      </w:r>
      <w:r>
        <w:t xml:space="preserve">,</w:t>
      </w:r>
      <w:r>
        <w:t xml:space="preserve"> </w:t>
      </w:r>
      <w:r>
        <w:rPr>
          <w:rStyle w:val="VerbatimChar"/>
        </w:rPr>
        <w:t xml:space="preserve">--visual-quality-later</w:t>
      </w:r>
      <w:r>
        <w:t xml:space="preserve">,</w:t>
      </w:r>
      <w:r>
        <w:t xml:space="preserve"> </w:t>
      </w:r>
      <w:r>
        <w:rPr>
          <w:rStyle w:val="VerbatimChar"/>
        </w:rPr>
        <w:t xml:space="preserve">--claim-without-render</w:t>
      </w:r>
      <w:r>
        <w:t xml:space="preserve"> </w:t>
      </w:r>
      <w:r>
        <w:t xml:space="preserve">flag.</w:t>
      </w:r>
    </w:p>
    <w:bookmarkStart w:id="12" w:name="Xe84ddb1c1ff2ca332e87490b24b587e170318a1"/>
    <w:p>
      <w:pPr>
        <w:pStyle w:val="Heading3"/>
      </w:pPr>
      <w:r>
        <w:t xml:space="preserve">§11.4.216 — Canonical machine-readable design-token source: one CSS custom-property file (</w:t>
      </w:r>
      <w:r>
        <w:rPr>
          <w:rStyle w:val="VerbatimChar"/>
        </w:rPr>
        <w:t xml:space="preserve">:root</w:t>
      </w:r>
      <w:r>
        <w:t xml:space="preserve"> </w:t>
      </w:r>
      <w:r>
        <w:t xml:space="preserve">+</w:t>
      </w:r>
      <w:r>
        <w:t xml:space="preserve"> </w:t>
      </w:r>
      <w:r>
        <w:rPr>
          <w:rStyle w:val="VerbatimChar"/>
        </w:rPr>
        <w:t xml:space="preserve">[data-theme="dark"]</w:t>
      </w:r>
      <w:r>
        <w:t xml:space="preserve">), generated bindings everywhere else (User mandate, 2026-07-22)</w:t>
      </w:r>
    </w:p>
    <w:p>
      <w:pPr>
        <w:pStyle w:val="FirstParagraph"/>
      </w:pPr>
      <w:r>
        <w:rPr>
          <w:b/>
          <w:bCs/>
        </w:rPr>
        <w:t xml:space="preserve">Forensic anchor — proving project (Helix Thready MVP design package, 2026-07-22).</w:t>
      </w:r>
      <w:r>
        <w:t xml:space="preserve"> </w:t>
      </w:r>
      <w:r>
        <w:t xml:space="preserve">The mandate's shape was proven end-to-end in the Helix Thready design package (</w:t>
      </w:r>
      <w:r>
        <w:rPr>
          <w:rStyle w:val="VerbatimChar"/>
        </w:rPr>
        <w:t xml:space="preserve">docs/public/research/mvp/design/</w:t>
      </w:r>
      <w:r>
        <w:t xml:space="preserve">): ONE machine-readable token file (</w:t>
      </w:r>
      <w:r>
        <w:rPr>
          <w:rStyle w:val="VerbatimChar"/>
        </w:rPr>
        <w:t xml:space="preserve">opendesign/tokens.css</w:t>
      </w:r>
      <w:r>
        <w:t xml:space="preserve">) carries every color / type / spacing / radius / elevation / motion value as CSS custom properties — light values in a</w:t>
      </w:r>
      <w:r>
        <w:t xml:space="preserve"> </w:t>
      </w:r>
      <w:r>
        <w:rPr>
          <w:rStyle w:val="VerbatimChar"/>
        </w:rPr>
        <w:t xml:space="preserve">:root {}</w:t>
      </w:r>
      <w:r>
        <w:t xml:space="preserve"> </w:t>
      </w:r>
      <w:r>
        <w:t xml:space="preserve">block, dark values in a</w:t>
      </w:r>
      <w:r>
        <w:t xml:space="preserve"> </w:t>
      </w:r>
      <w:r>
        <w:rPr>
          <w:rStyle w:val="VerbatimChar"/>
        </w:rPr>
        <w:t xml:space="preserve">[data-theme="dark"]</w:t>
      </w:r>
      <w:r>
        <w:t xml:space="preserve"> </w:t>
      </w:r>
      <w:r>
        <w:t xml:space="preserve">override — and every value is evidence-traceable, never invented: the brand chartreuse</w:t>
      </w:r>
      <w:r>
        <w:t xml:space="preserve"> </w:t>
      </w:r>
      <w:r>
        <w:rPr>
          <w:rStyle w:val="VerbatimChar"/>
        </w:rPr>
        <w:t xml:space="preserve">#B6E376</w:t>
      </w:r>
      <w:r>
        <w:t xml:space="preserve"> </w:t>
      </w:r>
      <w:r>
        <w:t xml:space="preserve">is the recorded eyedrop MEAN of 1,625,855 green-dominant logo pixels, the mint secondary</w:t>
      </w:r>
      <w:r>
        <w:t xml:space="preserve"> </w:t>
      </w:r>
      <w:r>
        <w:rPr>
          <w:rStyle w:val="VerbatimChar"/>
        </w:rPr>
        <w:t xml:space="preserve">#ABDDC9</w:t>
      </w:r>
      <w:r>
        <w:t xml:space="preserve"> </w:t>
      </w:r>
      <w:r>
        <w:t xml:space="preserve">the mean of 618,886 mint-region pixels, the light accent MEASURED at 6.03:1 on white and the dark accent at 13.56:1 on the night surface. Every non-CSS platform in the fan-out consumes a GENERATED binding (token → Compose</w:t>
      </w:r>
      <w:r>
        <w:t xml:space="preserve"> </w:t>
      </w:r>
      <w:r>
        <w:rPr>
          <w:rStyle w:val="VerbatimChar"/>
        </w:rPr>
        <w:t xml:space="preserve">Color</w:t>
      </w:r>
      <w:r>
        <w:t xml:space="preserve">/</w:t>
      </w:r>
      <w:r>
        <w:rPr>
          <w:rStyle w:val="VerbatimChar"/>
        </w:rPr>
        <w:t xml:space="preserve">Dp</w:t>
      </w:r>
      <w:r>
        <w:t xml:space="preserve">, Lipgloss</w:t>
      </w:r>
      <w:r>
        <w:t xml:space="preserve"> </w:t>
      </w:r>
      <w:r>
        <w:rPr>
          <w:rStyle w:val="VerbatimChar"/>
        </w:rPr>
        <w:t xml:space="preserve">lipgloss.Color</w:t>
      </w:r>
      <w:r>
        <w:t xml:space="preserve">, Flutter/Qt theme, Figma Variables payload), never a hand-kept copy; the not-yet-built codegen bridges are honestly</w:t>
      </w:r>
      <w:r>
        <w:t xml:space="preserve"> </w:t>
      </w:r>
      <w:r>
        <w:rPr>
          <w:rStyle w:val="VerbatimChar"/>
        </w:rPr>
        <w:t xml:space="preserve">[OPEN]</w:t>
      </w:r>
      <w:r>
        <w:t xml:space="preserve">-tracked, never claimed shipped.</w:t>
      </w:r>
    </w:p>
    <w:p>
      <w:pPr>
        <w:pStyle w:val="BodyText"/>
      </w:pPr>
      <w:r>
        <w:rPr>
          <w:b/>
          <w:bCs/>
        </w:rPr>
        <w:t xml:space="preserve">The mandate.</w:t>
      </w:r>
      <w:r>
        <w:t xml:space="preserve"> </w:t>
      </w:r>
      <w:r>
        <w:t xml:space="preserve">Every project governed by this Constitution that ships user-facing interfaces MUST maintain its design tokens as ONE canonical, machine-readable source, and everything else MUST derive from it: (1)</w:t>
      </w:r>
      <w:r>
        <w:t xml:space="preserve"> </w:t>
      </w:r>
      <w:r>
        <w:rPr>
          <w:b/>
          <w:bCs/>
        </w:rPr>
        <w:t xml:space="preserve">Canonical file shape</w:t>
      </w:r>
      <w:r>
        <w:t xml:space="preserve"> </w:t>
      </w:r>
      <w:r>
        <w:t xml:space="preserve">— CSS custom properties, light values in</w:t>
      </w:r>
      <w:r>
        <w:t xml:space="preserve"> </w:t>
      </w:r>
      <w:r>
        <w:rPr>
          <w:rStyle w:val="VerbatimChar"/>
        </w:rPr>
        <w:t xml:space="preserve">:root {}</w:t>
      </w:r>
      <w:r>
        <w:t xml:space="preserve">, dark values via the</w:t>
      </w:r>
      <w:r>
        <w:t xml:space="preserve"> </w:t>
      </w:r>
      <w:r>
        <w:rPr>
          <w:rStyle w:val="VerbatimChar"/>
        </w:rPr>
        <w:t xml:space="preserve">[data-theme="dark"]</w:t>
      </w:r>
      <w:r>
        <w:t xml:space="preserve"> </w:t>
      </w:r>
      <w:r>
        <w:t xml:space="preserve">override pattern, composing the project's sanctioned dark-mode mechanisms (</w:t>
      </w:r>
      <w:r>
        <w:rPr>
          <w:rStyle w:val="VerbatimChar"/>
        </w:rPr>
        <w:t xml:space="preserve">@media (prefers-color-scheme: dark)</w:t>
      </w:r>
      <w:r>
        <w:t xml:space="preserve"> </w:t>
      </w:r>
      <w:r>
        <w:t xml:space="preserve">system default, explicit</w:t>
      </w:r>
      <w:r>
        <w:t xml:space="preserve"> </w:t>
      </w:r>
      <w:r>
        <w:rPr>
          <w:rStyle w:val="VerbatimChar"/>
        </w:rPr>
        <w:t xml:space="preserve">data-theme</w:t>
      </w:r>
      <w:r>
        <w:t xml:space="preserve"> </w:t>
      </w:r>
      <w:r>
        <w:t xml:space="preserve">attribute, framework-compat class) — never duplicate hand-kept light/dark palettes. (2)</w:t>
      </w:r>
      <w:r>
        <w:t xml:space="preserve"> </w:t>
      </w:r>
      <w:r>
        <w:rPr>
          <w:b/>
          <w:bCs/>
        </w:rPr>
        <w:t xml:space="preserve">Generated bindings only</w:t>
      </w:r>
      <w:r>
        <w:t xml:space="preserve"> </w:t>
      </w:r>
      <w:r>
        <w:t xml:space="preserve">— every consuming surface (web CSS, native mobile, desktop, TUI, design tools, rendered doc artifacts) binds to the canonical source either directly via</w:t>
      </w:r>
      <w:r>
        <w:t xml:space="preserve"> </w:t>
      </w:r>
      <w:r>
        <w:rPr>
          <w:rStyle w:val="VerbatimChar"/>
        </w:rPr>
        <w:t xml:space="preserve">var(--…)</w:t>
      </w:r>
      <w:r>
        <w:t xml:space="preserve"> </w:t>
      </w:r>
      <w:r>
        <w:t xml:space="preserve">or through a GENERATED binding produced by codegen FROM the canonical file; a hand-copied or hand-restated token value anywhere (an inline hex that restates a token, a hand-kept per-platform palette) is a §11.4.216 violation — hand-copies drift silently, and the drift is invisible until a surface renders off-brand. (3)</w:t>
      </w:r>
      <w:r>
        <w:t xml:space="preserve"> </w:t>
      </w:r>
      <w:r>
        <w:rPr>
          <w:b/>
          <w:bCs/>
        </w:rPr>
        <w:t xml:space="preserve">No invented values — §11.4.6 applied to design</w:t>
      </w:r>
      <w:r>
        <w:t xml:space="preserve"> </w:t>
      </w:r>
      <w:r>
        <w:t xml:space="preserve">— every color / size / duration in the token source is traceable to captured evidence: brand colors to a recorded eyedrop / measurement of the canonical brand asset, accent pairs to a MEASURED WCAG contrast ratio against their PAIRED background, structural values to the documented shared-system scale; a hex that appears in any design artifact and resolves to no token is a violation — flag it and use the nearest existing token (per §11.4.162's no-invented-values discipline), never mint an ad-hoc value. (4)</w:t>
      </w:r>
      <w:r>
        <w:t xml:space="preserve"> </w:t>
      </w:r>
      <w:r>
        <w:rPr>
          <w:b/>
          <w:bCs/>
        </w:rPr>
        <w:t xml:space="preserve">The token source is the white-label seam</w:t>
      </w:r>
      <w:r>
        <w:t xml:space="preserve"> </w:t>
      </w:r>
      <w:r>
        <w:t xml:space="preserve">— per-brand / per-account re-theming swaps token VALUES within the §11.4.217 closed override set, never component structure.</w:t>
      </w:r>
    </w:p>
    <w:p>
      <w:pPr>
        <w:pStyle w:val="BodyText"/>
      </w:pPr>
      <w:r>
        <w:rPr>
          <w:b/>
          <w:bCs/>
        </w:rPr>
        <w:t xml:space="preserve">Honest boundary (§11.4.6).</w:t>
      </w:r>
      <w:r>
        <w:t xml:space="preserve"> </w:t>
      </w:r>
      <w:r>
        <w:t xml:space="preserve">One canonical source proves consistency of DEFINITION, not correctness of USE — a component can still misuse a token (brand-as-body-text); role discipline is §11.4.217's and rendered-pixel proof is §11.4.170's. And "generated binding" follows §11.4.197 wiring honesty: a codegen bridge that does not exist yet is an</w:t>
      </w:r>
      <w:r>
        <w:t xml:space="preserve"> </w:t>
      </w:r>
      <w:r>
        <w:rPr>
          <w:rStyle w:val="VerbatimChar"/>
        </w:rPr>
        <w:t xml:space="preserve">[OPEN]</w:t>
      </w:r>
      <w:r>
        <w:t xml:space="preserve">-registered gap (§11.4.223), never claimed working.</w:t>
      </w:r>
    </w:p>
    <w:p>
      <w:pPr>
        <w:pStyle w:val="BodyText"/>
      </w:pPr>
      <w:r>
        <w:t xml:space="preserve">Classification: universal (§11.4.17) — references no project-specific brand or platform; the consuming project supplies its token-file path, brand-asset evidence, platform fan-out list, and codegen bridges per §11.4.35. Composes §11.4.6 / §11.4.162 (OpenDesign is the mandated token SYSTEM — this anchor pins its canonical FILE shape and consumption discipline) / §11.4.170 / §11.4.190 / §11.4.197 / §11.4.217 / §11.4.223. Propagation gate</w:t>
      </w:r>
      <w:r>
        <w:t xml:space="preserve"> </w:t>
      </w:r>
      <w:r>
        <w:rPr>
          <w:rStyle w:val="VerbatimChar"/>
        </w:rPr>
        <w:t xml:space="preserve">CM-COVENANT-114-216-PROPAGATION</w:t>
      </w:r>
      <w:r>
        <w:t xml:space="preserve"> </w:t>
      </w:r>
      <w:r>
        <w:t xml:space="preserve">(literal</w:t>
      </w:r>
      <w:r>
        <w:t xml:space="preserve"> </w:t>
      </w:r>
      <w:r>
        <w:rPr>
          <w:rStyle w:val="VerbatimChar"/>
        </w:rPr>
        <w:t xml:space="preserve">11.4.216</w:t>
      </w:r>
      <w:r>
        <w:t xml:space="preserve">) + recommended gate</w:t>
      </w:r>
      <w:r>
        <w:t xml:space="preserve"> </w:t>
      </w:r>
      <w:r>
        <w:rPr>
          <w:rStyle w:val="VerbatimChar"/>
        </w:rPr>
        <w:t xml:space="preserve">CM-DESIGN-TOKEN-SINGLE-SOURCE</w:t>
      </w:r>
      <w:r>
        <w:t xml:space="preserve"> </w:t>
      </w:r>
      <w:r>
        <w:t xml:space="preserve">(the canonical token file exists with</w:t>
      </w:r>
      <w:r>
        <w:t xml:space="preserve"> </w:t>
      </w:r>
      <w:r>
        <w:rPr>
          <w:rStyle w:val="VerbatimChar"/>
        </w:rPr>
        <w:t xml:space="preserve">:root {}</w:t>
      </w:r>
      <w:r>
        <w:t xml:space="preserve"> </w:t>
      </w:r>
      <w:r>
        <w:t xml:space="preserve">+</w:t>
      </w:r>
      <w:r>
        <w:t xml:space="preserve"> </w:t>
      </w:r>
      <w:r>
        <w:rPr>
          <w:rStyle w:val="VerbatimChar"/>
        </w:rPr>
        <w:t xml:space="preserve">[data-theme="dark"]</w:t>
      </w:r>
      <w:r>
        <w:t xml:space="preserve"> </w:t>
      </w:r>
      <w:r>
        <w:t xml:space="preserve">blocks; tracked design artifacts bind via</w:t>
      </w:r>
      <w:r>
        <w:t xml:space="preserve"> </w:t>
      </w:r>
      <w:r>
        <w:rPr>
          <w:rStyle w:val="VerbatimChar"/>
        </w:rPr>
        <w:t xml:space="preserve">var()</w:t>
      </w:r>
      <w:r>
        <w:t xml:space="preserve"> </w:t>
      </w:r>
      <w:r>
        <w:t xml:space="preserve">rather than restating token hex inline; every declared platform names its generated-binding artifact or its</w:t>
      </w:r>
      <w:r>
        <w:t xml:space="preserve"> </w:t>
      </w:r>
      <w:r>
        <w:rPr>
          <w:rStyle w:val="VerbatimChar"/>
        </w:rPr>
        <w:t xml:space="preserve">[OPEN]</w:t>
      </w:r>
      <w:r>
        <w:t xml:space="preserve"> </w:t>
      </w:r>
      <w:r>
        <w:t xml:space="preserve">id) + paired §1.1 mutation (hand-restate a token hex in a tracked artifact → gate FAILs; strip the dark override block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§11.4.216.</w:t>
      </w:r>
    </w:p>
    <w:p>
      <w:pPr>
        <w:pStyle w:val="BodyText"/>
      </w:pPr>
      <w:r>
        <w:t xml:space="preserve">Non-compliance is a release blocker regardless of context. No escape hatch — no</w:t>
      </w:r>
      <w:r>
        <w:t xml:space="preserve"> </w:t>
      </w:r>
      <w:r>
        <w:rPr>
          <w:rStyle w:val="VerbatimChar"/>
        </w:rPr>
        <w:t xml:space="preserve">--hand-copied-palette-OK</w:t>
      </w:r>
      <w:r>
        <w:t xml:space="preserve">,</w:t>
      </w:r>
      <w:r>
        <w:t xml:space="preserve"> </w:t>
      </w:r>
      <w:r>
        <w:rPr>
          <w:rStyle w:val="VerbatimChar"/>
        </w:rPr>
        <w:t xml:space="preserve">--inline-hex-OK</w:t>
      </w:r>
      <w:r>
        <w:t xml:space="preserve">,</w:t>
      </w:r>
      <w:r>
        <w:t xml:space="preserve"> </w:t>
      </w:r>
      <w:r>
        <w:rPr>
          <w:rStyle w:val="VerbatimChar"/>
        </w:rPr>
        <w:t xml:space="preserve">--invent-token-value</w:t>
      </w:r>
      <w:r>
        <w:t xml:space="preserve">,</w:t>
      </w:r>
      <w:r>
        <w:t xml:space="preserve"> </w:t>
      </w:r>
      <w:r>
        <w:rPr>
          <w:rStyle w:val="VerbatimChar"/>
        </w:rPr>
        <w:t xml:space="preserve">--light-only-tokens</w:t>
      </w:r>
      <w:r>
        <w:t xml:space="preserve">,</w:t>
      </w:r>
      <w:r>
        <w:t xml:space="preserve"> </w:t>
      </w:r>
      <w:r>
        <w:rPr>
          <w:rStyle w:val="VerbatimChar"/>
        </w:rPr>
        <w:t xml:space="preserve">--platform-keeps-own-palette</w:t>
      </w:r>
      <w:r>
        <w:t xml:space="preserve"> </w:t>
      </w:r>
      <w:r>
        <w:t xml:space="preserve">flag exists.</w:t>
      </w:r>
    </w:p>
    <w:bookmarkEnd w:id="12"/>
    <w:bookmarkStart w:id="13" w:name="Xc9eaf2eee48df3f2beae3f8c593768ce19aae22"/>
    <w:p>
      <w:pPr>
        <w:pStyle w:val="Heading3"/>
      </w:pPr>
      <w:r>
        <w:t xml:space="preserve">§11.4.217 — OpenDesign brand contract: every UI-shipping product carries a 9-section DESIGN.md + tokens.css twin with disjoint color roles, AA-pinned accents, and a locked attribution footer (User mandate, 2026-07-22)</w:t>
      </w:r>
    </w:p>
    <w:p>
      <w:pPr>
        <w:pStyle w:val="FirstParagraph"/>
      </w:pPr>
      <w:r>
        <w:rPr>
          <w:b/>
          <w:bCs/>
        </w:rPr>
        <w:t xml:space="preserve">Forensic anchor — proving project (Helix Thready MVP design package, 2026-07-22).</w:t>
      </w:r>
      <w:r>
        <w:t xml:space="preserve"> </w:t>
      </w:r>
      <w:r>
        <w:t xml:space="preserve">Helix Thready ships</w:t>
      </w:r>
      <w:r>
        <w:t xml:space="preserve"> </w:t>
      </w:r>
      <w:r>
        <w:rPr>
          <w:rStyle w:val="VerbatimChar"/>
        </w:rPr>
        <w:t xml:space="preserve">design/opendesign/DESIGN.md</w:t>
      </w:r>
      <w:r>
        <w:t xml:space="preserve"> </w:t>
      </w:r>
      <w:r>
        <w:t xml:space="preserve">in the OpenDesign 9-section brand-contract schema — VERIFIED against the tool's own source per §11.4.99 (spec,</w:t>
      </w:r>
      <w:r>
        <w:t xml:space="preserve"> </w:t>
      </w:r>
      <w:r>
        <w:rPr>
          <w:rStyle w:val="VerbatimChar"/>
        </w:rPr>
        <w:t xml:space="preserve">design-systems/README.md</w:t>
      </w:r>
      <w:r>
        <w:t xml:space="preserve">, the contributor authoring guide, and a measured 150-file corpus: two coexisting heading families, both parsed by number prefix only) — plus its machine-readable twin</w:t>
      </w:r>
      <w:r>
        <w:t xml:space="preserve"> </w:t>
      </w:r>
      <w:r>
        <w:rPr>
          <w:rStyle w:val="VerbatimChar"/>
        </w:rPr>
        <w:t xml:space="preserve">tokens.css</w:t>
      </w:r>
      <w:r>
        <w:t xml:space="preserve"> </w:t>
      </w:r>
      <w:r>
        <w:t xml:space="preserve">per the OpenDesign token schema, and an honest</w:t>
      </w:r>
      <w:r>
        <w:t xml:space="preserve"> </w:t>
      </w:r>
      <w:r>
        <w:rPr>
          <w:rStyle w:val="VerbatimChar"/>
        </w:rPr>
        <w:t xml:space="preserve">TOOLING.md</w:t>
      </w:r>
      <w:r>
        <w:t xml:space="preserve"> </w:t>
      </w:r>
      <w:r>
        <w:t xml:space="preserve">capability check. The contract encodes three DISJOINT color roles (brand decorative, accent interactive, semantic state), the closed white-label override set the three shipped sibling themes prove works, and the locked attribution footer.</w:t>
      </w:r>
    </w:p>
    <w:p>
      <w:pPr>
        <w:pStyle w:val="BodyText"/>
      </w:pPr>
      <w:r>
        <w:rPr>
          <w:b/>
          <w:bCs/>
        </w:rPr>
        <w:t xml:space="preserve">The mandate.</w:t>
      </w:r>
      <w:r>
        <w:t xml:space="preserve"> </w:t>
      </w:r>
      <w:r>
        <w:t xml:space="preserve">Every product governed by this Constitution that ships user-facing interfaces MUST carry an OpenDesign brand contract under its design area (</w:t>
      </w:r>
      <w:r>
        <w:rPr>
          <w:rStyle w:val="VerbatimChar"/>
        </w:rPr>
        <w:t xml:space="preserve">design/opendesign/</w:t>
      </w:r>
      <w:r>
        <w:t xml:space="preserve"> </w:t>
      </w:r>
      <w:r>
        <w:t xml:space="preserve">or the project's declared equivalent per §11.4.35), consisting of: (1)</w:t>
      </w:r>
      <w:r>
        <w:t xml:space="preserve"> </w:t>
      </w:r>
      <w:r>
        <w:rPr>
          <w:rStyle w:val="VerbatimChar"/>
          <w:b/>
          <w:bCs/>
        </w:rPr>
        <w:t xml:space="preserve">DESIGN.md</w:t>
      </w:r>
      <w:r>
        <w:rPr>
          <w:b/>
          <w:bCs/>
        </w:rPr>
        <w:t xml:space="preserve"> </w:t>
      </w:r>
      <w:r>
        <w:rPr>
          <w:b/>
          <w:bCs/>
        </w:rPr>
        <w:t xml:space="preserve">in the verified 9-section schema</w:t>
      </w:r>
      <w:r>
        <w:t xml:space="preserve"> </w:t>
      </w:r>
      <w:r>
        <w:t xml:space="preserve">— H1 product title with the</w:t>
      </w:r>
      <w:r>
        <w:t xml:space="preserve"> </w:t>
      </w:r>
      <w:r>
        <w:rPr>
          <w:rStyle w:val="VerbatimChar"/>
        </w:rPr>
        <w:t xml:space="preserve">&gt; Category:</w:t>
      </w:r>
      <w:r>
        <w:t xml:space="preserve"> </w:t>
      </w:r>
      <w:r>
        <w:t xml:space="preserve">blockquote IMMEDIATELY after the H1 (the picker parses the line immediately after the H1), nine numbered sections (the parser matches the number prefix, not the heading text), a "Font labels for catalog extraction" block (</w:t>
      </w:r>
      <w:r>
        <w:rPr>
          <w:rStyle w:val="VerbatimChar"/>
        </w:rPr>
        <w:t xml:space="preserve">Display:</w:t>
      </w:r>
      <w:r>
        <w:t xml:space="preserve"> </w:t>
      </w:r>
      <w:r>
        <w:t xml:space="preserve">/</w:t>
      </w:r>
      <w:r>
        <w:t xml:space="preserve"> </w:t>
      </w:r>
      <w:r>
        <w:rPr>
          <w:rStyle w:val="VerbatimChar"/>
        </w:rPr>
        <w:t xml:space="preserve">Body:</w:t>
      </w:r>
      <w:r>
        <w:t xml:space="preserve"> </w:t>
      </w:r>
      <w:r>
        <w:t xml:space="preserve">/</w:t>
      </w:r>
      <w:r>
        <w:t xml:space="preserve"> </w:t>
      </w:r>
      <w:r>
        <w:rPr>
          <w:rStyle w:val="VerbatimChar"/>
        </w:rPr>
        <w:t xml:space="preserve">Mono:</w:t>
      </w:r>
      <w:r>
        <w:t xml:space="preserve"> </w:t>
      </w:r>
      <w:r>
        <w:t xml:space="preserve">lines) in the typography section, real hex codes, CSS variables wrapped in</w:t>
      </w:r>
      <w:r>
        <w:t xml:space="preserve"> </w:t>
      </w:r>
      <w:r>
        <w:rPr>
          <w:rStyle w:val="VerbatimChar"/>
        </w:rPr>
        <w:t xml:space="preserve">:root {}</w:t>
      </w:r>
      <w:r>
        <w:t xml:space="preserve"> </w:t>
      </w:r>
      <w:r>
        <w:t xml:space="preserve">(never bare) with dark tokens via the</w:t>
      </w:r>
      <w:r>
        <w:t xml:space="preserve"> </w:t>
      </w:r>
      <w:r>
        <w:rPr>
          <w:rStyle w:val="VerbatimChar"/>
        </w:rPr>
        <w:t xml:space="preserve">[data-theme="dark"]</w:t>
      </w:r>
      <w:r>
        <w:t xml:space="preserve"> </w:t>
      </w:r>
      <w:r>
        <w:t xml:space="preserve">override pattern, real component CSS with</w:t>
      </w:r>
      <w:r>
        <w:t xml:space="preserve"> </w:t>
      </w:r>
      <w:r>
        <w:rPr>
          <w:rStyle w:val="VerbatimChar"/>
        </w:rPr>
        <w:t xml:space="preserve">prefers-reduced-motion</w:t>
      </w:r>
      <w:r>
        <w:t xml:space="preserve"> </w:t>
      </w:r>
      <w:r>
        <w:t xml:space="preserve">targeting specific elements (never a global</w:t>
      </w:r>
      <w:r>
        <w:t xml:space="preserve"> </w:t>
      </w:r>
      <w:r>
        <w:rPr>
          <w:rStyle w:val="VerbatimChar"/>
        </w:rPr>
        <w:t xml:space="preserve">*</w:t>
      </w:r>
      <w:r>
        <w:t xml:space="preserve">), and</w:t>
      </w:r>
      <w:r>
        <w:t xml:space="preserve"> </w:t>
      </w:r>
      <w:r>
        <w:rPr>
          <w:rStyle w:val="VerbatimChar"/>
        </w:rPr>
        <w:t xml:space="preserve">:focus-visible</w:t>
      </w:r>
      <w:r>
        <w:t xml:space="preserve"> </w:t>
      </w:r>
      <w:r>
        <w:t xml:space="preserve">on every interactive component — the tool's own blocking review lens, satisfied in-file. Format claims are verified against the tool's CURRENT source per §11.4.99, never assumed from memory. (2)</w:t>
      </w:r>
      <w:r>
        <w:t xml:space="preserve"> </w:t>
      </w:r>
      <w:r>
        <w:rPr>
          <w:b/>
          <w:bCs/>
        </w:rPr>
        <w:t xml:space="preserve">The</w:t>
      </w:r>
      <w:r>
        <w:rPr>
          <w:b/>
          <w:bCs/>
        </w:rPr>
        <w:t xml:space="preserve"> </w:t>
      </w:r>
      <w:r>
        <w:rPr>
          <w:rStyle w:val="VerbatimChar"/>
          <w:b/>
          <w:bCs/>
        </w:rPr>
        <w:t xml:space="preserve">tokens.css</w:t>
      </w:r>
      <w:r>
        <w:rPr>
          <w:b/>
          <w:bCs/>
        </w:rPr>
        <w:t xml:space="preserve"> </w:t>
      </w:r>
      <w:r>
        <w:rPr>
          <w:b/>
          <w:bCs/>
        </w:rPr>
        <w:t xml:space="preserve">machine-readable twin</w:t>
      </w:r>
      <w:r>
        <w:t xml:space="preserve"> </w:t>
      </w:r>
      <w:r>
        <w:t xml:space="preserve">— the §11.4.216 canonical token file (or a compiled view of it), following the tool's token schema; prose and tokens never diverge. (3)</w:t>
      </w:r>
      <w:r>
        <w:t xml:space="preserve"> </w:t>
      </w:r>
      <w:r>
        <w:rPr>
          <w:b/>
          <w:bCs/>
        </w:rPr>
        <w:t xml:space="preserve">Disjoint color roles by contract</w:t>
      </w:r>
      <w:r>
        <w:t xml:space="preserve"> </w:t>
      </w:r>
      <w:r>
        <w:t xml:space="preserve">— brand is DECORATIVE only (never body text; the Thready brand base measures 1.47:1 on white — decorative by physics, not by preference), accent is INTERACTIVE and AA-PINNED (each accent/on-accent pair carries a measured ≥ 4.5:1 ratio against its paired background, both modes), semantic (success / warn / danger) is STATE and is NEVER overridden by a brand — a brand color can never mask an error signal. (4)</w:t>
      </w:r>
      <w:r>
        <w:t xml:space="preserve"> </w:t>
      </w:r>
      <w:r>
        <w:rPr>
          <w:b/>
          <w:bCs/>
        </w:rPr>
        <w:t xml:space="preserve">White-label closed override set, server-validated</w:t>
      </w:r>
      <w:r>
        <w:t xml:space="preserve"> </w:t>
      </w:r>
      <w:r>
        <w:t xml:space="preserve">— per-account branding may swap decorative brand tokens, the accent pair, logo, and slogan; accent overrides are SERVER-VALIDATED to WCAG AA ≥ 4.5:1 or REJECTED (the rejection carries the measured ratio + an AA-passing suggestion — instructive, never bare); structural tokens, neutral surfaces, and semantic tokens are NOT account-overridable (advanced neutral overrides gate behind a full AA re-validation). (5)</w:t>
      </w:r>
      <w:r>
        <w:t xml:space="preserve"> </w:t>
      </w:r>
      <w:r>
        <w:rPr>
          <w:b/>
          <w:bCs/>
        </w:rPr>
        <w:t xml:space="preserve">Locked attribution footer</w:t>
      </w:r>
      <w:r>
        <w:t xml:space="preserve"> </w:t>
      </w:r>
      <w:r>
        <w:t xml:space="preserve">— the organization's attribution footer ships on every surface and is NEVER removed, even fully white-labeled.</w:t>
      </w:r>
    </w:p>
    <w:p>
      <w:pPr>
        <w:pStyle w:val="BodyText"/>
      </w:pPr>
      <w:r>
        <w:rPr>
          <w:b/>
          <w:bCs/>
        </w:rPr>
        <w:t xml:space="preserve">Honest boundary (§11.4.6).</w:t>
      </w:r>
      <w:r>
        <w:t xml:space="preserve"> </w:t>
      </w:r>
      <w:r>
        <w:t xml:space="preserve">The contract governs DEFINITION and roles; it does not prove rendered correctness (§11.4.170 / §11.4.190) nor replace §11.4.162's token-system, test-coverage, and extend-don't-reimplement obligations — this anchor pins the contract ARTIFACT §11.4.162 consumes. Schema-version drift between the local tool checkout and the doc is recorded as fact and re-verified at integration, never papered over.</w:t>
      </w:r>
    </w:p>
    <w:p>
      <w:pPr>
        <w:pStyle w:val="BodyText"/>
      </w:pPr>
      <w:r>
        <w:t xml:space="preserve">Classification: universal (§11.4.17) — the consuming project supplies its brand values, category line, white-label storage/API bindings, and attribution string per §11.4.35. Composes §11.4.6 / §11.4.99 / §11.4.162 / §11.4.190 / §11.4.216 / §11.4.220 / §11.4.223. Propagation gate</w:t>
      </w:r>
      <w:r>
        <w:t xml:space="preserve"> </w:t>
      </w:r>
      <w:r>
        <w:rPr>
          <w:rStyle w:val="VerbatimChar"/>
        </w:rPr>
        <w:t xml:space="preserve">CM-COVENANT-114-217-PROPAGATION</w:t>
      </w:r>
      <w:r>
        <w:t xml:space="preserve"> </w:t>
      </w:r>
      <w:r>
        <w:t xml:space="preserve">(literal</w:t>
      </w:r>
      <w:r>
        <w:t xml:space="preserve"> </w:t>
      </w:r>
      <w:r>
        <w:rPr>
          <w:rStyle w:val="VerbatimChar"/>
        </w:rPr>
        <w:t xml:space="preserve">11.4.217</w:t>
      </w:r>
      <w:r>
        <w:t xml:space="preserve">) + recommended gate</w:t>
      </w:r>
      <w:r>
        <w:t xml:space="preserve"> </w:t>
      </w:r>
      <w:r>
        <w:rPr>
          <w:rStyle w:val="VerbatimChar"/>
        </w:rPr>
        <w:t xml:space="preserve">CM-OPENDESIGN-BRAND-CONTRACT</w:t>
      </w:r>
      <w:r>
        <w:t xml:space="preserve"> </w:t>
      </w:r>
      <w:r>
        <w:t xml:space="preserve">(DESIGN.md present with the 9 numbered sections + category blockquote + font-labels block +</w:t>
      </w:r>
      <w:r>
        <w:t xml:space="preserve"> </w:t>
      </w:r>
      <w:r>
        <w:rPr>
          <w:rStyle w:val="VerbatimChar"/>
        </w:rPr>
        <w:t xml:space="preserve">:root {}</w:t>
      </w:r>
      <w:r>
        <w:t xml:space="preserve"> </w:t>
      </w:r>
      <w:r>
        <w:t xml:space="preserve">+</w:t>
      </w:r>
      <w:r>
        <w:t xml:space="preserve"> </w:t>
      </w:r>
      <w:r>
        <w:rPr>
          <w:rStyle w:val="VerbatimChar"/>
        </w:rPr>
        <w:t xml:space="preserve">[data-theme="dark"]</w:t>
      </w:r>
      <w:r>
        <w:t xml:space="preserve"> </w:t>
      </w:r>
      <w:r>
        <w:t xml:space="preserve">+ targeted reduced-motion; tokens.css twin present and consistent; accent pairs carry measured ratios; the attribution footer token/lockup is present and not account-overridable) + paired §1.1 mutation (drop the font-labels block, or let a brand token override</w:t>
      </w:r>
      <w:r>
        <w:t xml:space="preserve"> </w:t>
      </w:r>
      <w:r>
        <w:rPr>
          <w:rStyle w:val="VerbatimChar"/>
        </w:rPr>
        <w:t xml:space="preserve">--danger</w:t>
      </w:r>
      <w:r>
        <w:t xml:space="preserve">, or mark the footer overridable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§11.4.217.</w:t>
      </w:r>
    </w:p>
    <w:p>
      <w:pPr>
        <w:pStyle w:val="BodyText"/>
      </w:pPr>
      <w:r>
        <w:t xml:space="preserve">Non-compliance is a release blocker regardless of context. No escape hatch — no</w:t>
      </w:r>
      <w:r>
        <w:t xml:space="preserve"> </w:t>
      </w:r>
      <w:r>
        <w:rPr>
          <w:rStyle w:val="VerbatimChar"/>
        </w:rPr>
        <w:t xml:space="preserve">--skip-brand-contract</w:t>
      </w:r>
      <w:r>
        <w:t xml:space="preserve">,</w:t>
      </w:r>
      <w:r>
        <w:t xml:space="preserve"> </w:t>
      </w:r>
      <w:r>
        <w:rPr>
          <w:rStyle w:val="VerbatimChar"/>
        </w:rPr>
        <w:t xml:space="preserve">--prose-only-design-md</w:t>
      </w:r>
      <w:r>
        <w:t xml:space="preserve">,</w:t>
      </w:r>
      <w:r>
        <w:t xml:space="preserve"> </w:t>
      </w:r>
      <w:r>
        <w:rPr>
          <w:rStyle w:val="VerbatimChar"/>
        </w:rPr>
        <w:t xml:space="preserve">--brand-as-text-OK</w:t>
      </w:r>
      <w:r>
        <w:t xml:space="preserve">,</w:t>
      </w:r>
      <w:r>
        <w:t xml:space="preserve"> </w:t>
      </w:r>
      <w:r>
        <w:rPr>
          <w:rStyle w:val="VerbatimChar"/>
        </w:rPr>
        <w:t xml:space="preserve">--unvalidated-accent-override</w:t>
      </w:r>
      <w:r>
        <w:t xml:space="preserve">,</w:t>
      </w:r>
      <w:r>
        <w:t xml:space="preserve"> </w:t>
      </w:r>
      <w:r>
        <w:rPr>
          <w:rStyle w:val="VerbatimChar"/>
        </w:rPr>
        <w:t xml:space="preserve">--remove-attribution-footer</w:t>
      </w:r>
      <w:r>
        <w:t xml:space="preserve">,</w:t>
      </w:r>
      <w:r>
        <w:t xml:space="preserve"> </w:t>
      </w:r>
      <w:r>
        <w:rPr>
          <w:rStyle w:val="VerbatimChar"/>
        </w:rPr>
        <w:t xml:space="preserve">--semantic-tokens-brandable</w:t>
      </w:r>
      <w:r>
        <w:t xml:space="preserve"> </w:t>
      </w:r>
      <w:r>
        <w:t xml:space="preserve">flag exists.</w:t>
      </w:r>
    </w:p>
    <w:bookmarkEnd w:id="13"/>
    <w:bookmarkStart w:id="14" w:name="X4684e7dc3448613565fe6eedd17e30419348a3d"/>
    <w:p>
      <w:pPr>
        <w:pStyle w:val="Heading3"/>
      </w:pPr>
      <w:r>
        <w:t xml:space="preserve">§11.4.218 — Living design-library catalogue: every component × state × theme rendered self-contained + a cross-platform reusability matrix with per-cell provenance (User mandate, 2026-07-22)</w:t>
      </w:r>
    </w:p>
    <w:p>
      <w:pPr>
        <w:pStyle w:val="FirstParagraph"/>
      </w:pPr>
      <w:r>
        <w:rPr>
          <w:b/>
          <w:bCs/>
        </w:rPr>
        <w:t xml:space="preserve">Forensic anchor — proving project (Helix Thready MVP design package, 2026-07-22).</w:t>
      </w:r>
      <w:r>
        <w:t xml:space="preserve"> </w:t>
      </w:r>
      <w:r>
        <w:t xml:space="preserve">Helix Thready's</w:t>
      </w:r>
      <w:r>
        <w:t xml:space="preserve"> </w:t>
      </w:r>
      <w:r>
        <w:rPr>
          <w:rStyle w:val="VerbatimChar"/>
        </w:rPr>
        <w:t xml:space="preserve">design/library/</w:t>
      </w:r>
      <w:r>
        <w:t xml:space="preserve"> </w:t>
      </w:r>
      <w:r>
        <w:t xml:space="preserve">renders the ENTIRE component set as a living catalogue:</w:t>
      </w:r>
      <w:r>
        <w:t xml:space="preserve"> </w:t>
      </w:r>
      <w:r>
        <w:rPr>
          <w:rStyle w:val="VerbatimChar"/>
        </w:rPr>
        <w:t xml:space="preserve">components.html</w:t>
      </w:r>
      <w:r>
        <w:t xml:space="preserve"> </w:t>
      </w:r>
      <w:r>
        <w:t xml:space="preserve">— 14 groups, ~38 components, ≈ 118 component-state cells, each auditable in BOTH themes via a real toggle (≈ 236 rendered states), zero external requests, interactive behaviors REAL not mocked (theme cycling stamps</w:t>
      </w:r>
      <w:r>
        <w:t xml:space="preserve"> </w:t>
      </w:r>
      <w:r>
        <w:rPr>
          <w:rStyle w:val="VerbatimChar"/>
        </w:rPr>
        <w:t xml:space="preserve">data-theme</w:t>
      </w:r>
      <w:r>
        <w:t xml:space="preserve"> </w:t>
      </w:r>
      <w:r>
        <w:t xml:space="preserve">and persists; column sorting drives</w:t>
      </w:r>
      <w:r>
        <w:t xml:space="preserve"> </w:t>
      </w:r>
      <w:r>
        <w:rPr>
          <w:rStyle w:val="VerbatimChar"/>
        </w:rPr>
        <w:t xml:space="preserve">aria-sort</w:t>
      </w:r>
      <w:r>
        <w:t xml:space="preserve">; a real</w:t>
      </w:r>
      <w:r>
        <w:t xml:space="preserve"> </w:t>
      </w:r>
      <w:r>
        <w:rPr>
          <w:rStyle w:val="VerbatimChar"/>
        </w:rPr>
        <w:t xml:space="preserve">showModal()</w:t>
      </w:r>
      <w:r>
        <w:t xml:space="preserve"> </w:t>
      </w:r>
      <w:r>
        <w:t xml:space="preserve">dialog; an auto-dismissing toast that pauses on hover) — plus</w:t>
      </w:r>
      <w:r>
        <w:t xml:space="preserve"> </w:t>
      </w:r>
      <w:r>
        <w:rPr>
          <w:rStyle w:val="VerbatimChar"/>
        </w:rPr>
        <w:t xml:space="preserve">components-sheet.svg</w:t>
      </w:r>
      <w:r>
        <w:t xml:space="preserve"> </w:t>
      </w:r>
      <w:r>
        <w:t xml:space="preserve">(an importable one-sheet) and</w:t>
      </w:r>
      <w:r>
        <w:t xml:space="preserve"> </w:t>
      </w:r>
      <w:r>
        <w:rPr>
          <w:rStyle w:val="VerbatimChar"/>
        </w:rPr>
        <w:t xml:space="preserve">platform-map.md</w:t>
      </w:r>
      <w:r>
        <w:t xml:space="preserve">, a 36-components × 8-platforms reusability matrix where EVERY cell carries a VERIFIED / PROPOSED / ASSUMED provenance marker re-checked at source.</w:t>
      </w:r>
    </w:p>
    <w:p>
      <w:pPr>
        <w:pStyle w:val="BodyText"/>
      </w:pPr>
      <w:r>
        <w:rPr>
          <w:b/>
          <w:bCs/>
        </w:rPr>
        <w:t xml:space="preserve">The mandate.</w:t>
      </w:r>
      <w:r>
        <w:t xml:space="preserve"> </w:t>
      </w:r>
      <w:r>
        <w:t xml:space="preserve">Every project governed by this Constitution that ships user-facing interfaces MUST maintain a LIVING design-library catalogue: (1)</w:t>
      </w:r>
      <w:r>
        <w:t xml:space="preserve"> </w:t>
      </w:r>
      <w:r>
        <w:rPr>
          <w:b/>
          <w:bCs/>
        </w:rPr>
        <w:t xml:space="preserve">Complete component × state × theme rendering</w:t>
      </w:r>
      <w:r>
        <w:t xml:space="preserve"> </w:t>
      </w:r>
      <w:r>
        <w:t xml:space="preserve">— every component of the project's design system, in every declared state (default / hover / focus-visible / disabled / loading / error / empty / skeleton as applicable), auditable in BOTH light and dark from one artifact; a component or state that exists in the spec but not in the catalogue is a coverage gap, tracked per §11.4.223. (2)</w:t>
      </w:r>
      <w:r>
        <w:t xml:space="preserve"> </w:t>
      </w:r>
      <w:r>
        <w:rPr>
          <w:b/>
          <w:bCs/>
        </w:rPr>
        <w:t xml:space="preserve">Self-contained artifacts</w:t>
      </w:r>
      <w:r>
        <w:t xml:space="preserve"> </w:t>
      </w:r>
      <w:r>
        <w:t xml:space="preserve">— the catalogue renders with ZERO external requests: no CDNs, no external fonts (self-hosted or system-stack fallback stated honestly), vendored libraries inlined; a catalogue that needs the network is not auditable offline and violates the project's CSP/offline posture. (3)</w:t>
      </w:r>
      <w:r>
        <w:t xml:space="preserve"> </w:t>
      </w:r>
      <w:r>
        <w:rPr>
          <w:b/>
          <w:bCs/>
        </w:rPr>
        <w:t xml:space="preserve">Real behaviors, token-bound</w:t>
      </w:r>
      <w:r>
        <w:t xml:space="preserve"> </w:t>
      </w:r>
      <w:r>
        <w:t xml:space="preserve">— interactive exhibits are real (real dialog, real sort, real toggle), every color/size binds to the §11.4.216 token source, and all motion honors</w:t>
      </w:r>
      <w:r>
        <w:t xml:space="preserve"> </w:t>
      </w:r>
      <w:r>
        <w:rPr>
          <w:rStyle w:val="VerbatimChar"/>
        </w:rPr>
        <w:t xml:space="preserve">prefers-reduced-motion</w:t>
      </w:r>
      <w:r>
        <w:t xml:space="preserve"> </w:t>
      </w:r>
      <w:r>
        <w:t xml:space="preserve">per §11.4.221. (4)</w:t>
      </w:r>
      <w:r>
        <w:t xml:space="preserve"> </w:t>
      </w:r>
      <w:r>
        <w:rPr>
          <w:b/>
          <w:bCs/>
        </w:rPr>
        <w:t xml:space="preserve">Cross-platform reusability matrix with per-cell provenance</w:t>
      </w:r>
      <w:r>
        <w:t xml:space="preserve"> </w:t>
      </w:r>
      <w:r>
        <w:t xml:space="preserve">— a components × platforms matrix where EVERY cell is marked from the closed provenance set: VERIFIED (reproduced from source and re-checked at source, with the check date), PROPOSED (a</w:t>
      </w:r>
      <w:r>
        <w:t xml:space="preserve"> </w:t>
      </w:r>
      <w:r>
        <w:rPr>
          <w:rStyle w:val="VerbatimChar"/>
        </w:rPr>
        <w:t xml:space="preserve">[DEFAULT — adjustable]</w:t>
      </w:r>
      <w:r>
        <w:t xml:space="preserve"> </w:t>
      </w:r>
      <w:r>
        <w:t xml:space="preserve">design pending review), or ASSUMED (inference, labeled as such); an unmarked cell reads as ASSUMED. The matrix is read BEFORE implementing any component on any platform; scaffolds are named scaffolds — a scaffold cell claiming VERIFIED is a §11.4 PASS-bluff at the design-planning layer.</w:t>
      </w:r>
    </w:p>
    <w:p>
      <w:pPr>
        <w:pStyle w:val="BodyText"/>
      </w:pPr>
      <w:r>
        <w:rPr>
          <w:b/>
          <w:bCs/>
        </w:rPr>
        <w:t xml:space="preserve">Honest boundary (§11.4.6).</w:t>
      </w:r>
      <w:r>
        <w:t xml:space="preserve"> </w:t>
      </w:r>
      <w:r>
        <w:t xml:space="preserve">The catalogue proves the DESIGN renders and behaves as specified in a browser-class runtime; it does not prove any platform IMPLEMENTATION (that is the matrix's per-cell provenance + each platform's own §11.4.170 rendered-pixel proof), and PROPOSED components are named proposals pending the upstream-vs-project split decision — never silently promoted to shipped.</w:t>
      </w:r>
    </w:p>
    <w:p>
      <w:pPr>
        <w:pStyle w:val="BodyText"/>
      </w:pPr>
      <w:r>
        <w:t xml:space="preserve">Classification: universal (§11.4.17) — the consuming project supplies its component set, state vocabulary, platform list, and matrix location per §11.4.35. Composes §11.4.6 / §11.4.162 / §11.4.170 / §11.4.216 / §11.4.221 / §11.4.223. Propagation gate</w:t>
      </w:r>
      <w:r>
        <w:t xml:space="preserve"> </w:t>
      </w:r>
      <w:r>
        <w:rPr>
          <w:rStyle w:val="VerbatimChar"/>
        </w:rPr>
        <w:t xml:space="preserve">CM-COVENANT-114-218-PROPAGATION</w:t>
      </w:r>
      <w:r>
        <w:t xml:space="preserve"> </w:t>
      </w:r>
      <w:r>
        <w:t xml:space="preserve">(literal</w:t>
      </w:r>
      <w:r>
        <w:t xml:space="preserve"> </w:t>
      </w:r>
      <w:r>
        <w:rPr>
          <w:rStyle w:val="VerbatimChar"/>
        </w:rPr>
        <w:t xml:space="preserve">11.4.218</w:t>
      </w:r>
      <w:r>
        <w:t xml:space="preserve">) + recommended gate</w:t>
      </w:r>
      <w:r>
        <w:t xml:space="preserve"> </w:t>
      </w:r>
      <w:r>
        <w:rPr>
          <w:rStyle w:val="VerbatimChar"/>
        </w:rPr>
        <w:t xml:space="preserve">CM-DESIGN-LIBRARY-LIVING-CATALOGUE</w:t>
      </w:r>
      <w:r>
        <w:t xml:space="preserve"> </w:t>
      </w:r>
      <w:r>
        <w:t xml:space="preserve">(the catalogue artifact exists, is self-contained — zero external URL references —, covers every spec'd component × state in both themes or tracks the gap, and the reusability matrix carries a closed-set provenance marker in every cell) + paired §1.1 mutation (introduce a CDN reference → gate FAILs; blank a matrix cell's marker or claim VERIFIED on a scaffold row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§11.4.218.</w:t>
      </w:r>
    </w:p>
    <w:p>
      <w:pPr>
        <w:pStyle w:val="BodyText"/>
      </w:pPr>
      <w:r>
        <w:t xml:space="preserve">Non-compliance is a release blocker regardless of context. No escape hatch — no</w:t>
      </w:r>
      <w:r>
        <w:t xml:space="preserve"> </w:t>
      </w:r>
      <w:r>
        <w:rPr>
          <w:rStyle w:val="VerbatimChar"/>
        </w:rPr>
        <w:t xml:space="preserve">--cdn-in-catalogue</w:t>
      </w:r>
      <w:r>
        <w:t xml:space="preserve">,</w:t>
      </w:r>
      <w:r>
        <w:t xml:space="preserve"> </w:t>
      </w:r>
      <w:r>
        <w:rPr>
          <w:rStyle w:val="VerbatimChar"/>
        </w:rPr>
        <w:t xml:space="preserve">--single-theme-catalogue</w:t>
      </w:r>
      <w:r>
        <w:t xml:space="preserve">,</w:t>
      </w:r>
      <w:r>
        <w:t xml:space="preserve"> </w:t>
      </w:r>
      <w:r>
        <w:rPr>
          <w:rStyle w:val="VerbatimChar"/>
        </w:rPr>
        <w:t xml:space="preserve">--mocked-behaviors-OK</w:t>
      </w:r>
      <w:r>
        <w:t xml:space="preserve">,</w:t>
      </w:r>
      <w:r>
        <w:t xml:space="preserve"> </w:t>
      </w:r>
      <w:r>
        <w:rPr>
          <w:rStyle w:val="VerbatimChar"/>
        </w:rPr>
        <w:t xml:space="preserve">--unmarked-matrix-cell</w:t>
      </w:r>
      <w:r>
        <w:t xml:space="preserve">,</w:t>
      </w:r>
      <w:r>
        <w:t xml:space="preserve"> </w:t>
      </w:r>
      <w:r>
        <w:rPr>
          <w:rStyle w:val="VerbatimChar"/>
        </w:rPr>
        <w:t xml:space="preserve">--scaffold-claims-verified</w:t>
      </w:r>
      <w:r>
        <w:t xml:space="preserve"> </w:t>
      </w:r>
      <w:r>
        <w:t xml:space="preserve">flag exists.</w:t>
      </w:r>
    </w:p>
    <w:bookmarkEnd w:id="14"/>
    <w:bookmarkStart w:id="15" w:name="X1ebfbce0f3caa62a623fd0b5598cfe4edebdbc8"/>
    <w:p>
      <w:pPr>
        <w:pStyle w:val="Heading3"/>
      </w:pPr>
      <w:r>
        <w:t xml:space="preserve">§11.4.219 — Per-app screen catalogues: full-IA coverage per surface, per-platform chrome variants, honesty markers for unbuilt behavior (User mandate, 2026-07-22)</w:t>
      </w:r>
    </w:p>
    <w:p>
      <w:pPr>
        <w:pStyle w:val="FirstParagraph"/>
      </w:pPr>
      <w:r>
        <w:rPr>
          <w:b/>
          <w:bCs/>
        </w:rPr>
        <w:t xml:space="preserve">Forensic anchor — proving project (Helix Thready MVP design package, 2026-07-22).</w:t>
      </w:r>
      <w:r>
        <w:t xml:space="preserve"> </w:t>
      </w:r>
      <w:r>
        <w:t xml:space="preserve">Helix Thready's</w:t>
      </w:r>
      <w:r>
        <w:t xml:space="preserve"> </w:t>
      </w:r>
      <w:r>
        <w:rPr>
          <w:rStyle w:val="VerbatimChar"/>
        </w:rPr>
        <w:t xml:space="preserve">design/screens/</w:t>
      </w:r>
      <w:r>
        <w:t xml:space="preserve"> </w:t>
      </w:r>
      <w:r>
        <w:t xml:space="preserve">carries a screen catalogue PER SURFACE — 13 web screens + an interactive prototype shell walking the four key journeys, 11 device-framed 390×844 mobile artifacts with an Android/iOS chrome TOGGLE (+ HarmonyOS/Aurora port notes) covering EVERY node of the wireframes' information architecture, a desktop shell with per-OS title bars / menus / tray / file-drop mocks, ten 80-column TUI mockups covering the full state machine, and a 3-page marketing set with a claims-traceability register. Undefined product behavior is rendered HONESTLY: placeholder billing amounts labelled as placeholders, an unspecified forgot-password flow linked with an inline note instead of a fake flow, an undecided channel source rendered as a DISABLED tile — each carrying its</w:t>
      </w:r>
      <w:r>
        <w:t xml:space="preserve"> </w:t>
      </w:r>
      <w:r>
        <w:rPr>
          <w:rStyle w:val="VerbatimChar"/>
        </w:rPr>
        <w:t xml:space="preserve">[OPEN: id]</w:t>
      </w:r>
      <w:r>
        <w:t xml:space="preserve">.</w:t>
      </w:r>
    </w:p>
    <w:p>
      <w:pPr>
        <w:pStyle w:val="BodyText"/>
      </w:pPr>
      <w:r>
        <w:rPr>
          <w:b/>
          <w:bCs/>
        </w:rPr>
        <w:t xml:space="preserve">The mandate.</w:t>
      </w:r>
      <w:r>
        <w:t xml:space="preserve"> </w:t>
      </w:r>
      <w:r>
        <w:t xml:space="preserve">Every application/surface a governed project ships MUST have a screen catalogue: (1)</w:t>
      </w:r>
      <w:r>
        <w:t xml:space="preserve"> </w:t>
      </w:r>
      <w:r>
        <w:rPr>
          <w:b/>
          <w:bCs/>
        </w:rPr>
        <w:t xml:space="preserve">Full-IA coverage</w:t>
      </w:r>
      <w:r>
        <w:t xml:space="preserve"> </w:t>
      </w:r>
      <w:r>
        <w:t xml:space="preserve">— the catalogue covers EVERY node of the surface's information architecture (every screen of the wireframe/IA contract); a screen present in the IA but absent from the catalogue is a coverage gap tracked per §11.4.223 — never silently skipped. (2)</w:t>
      </w:r>
      <w:r>
        <w:t xml:space="preserve"> </w:t>
      </w:r>
      <w:r>
        <w:rPr>
          <w:b/>
          <w:bCs/>
        </w:rPr>
        <w:t xml:space="preserve">Per-platform chrome variants</w:t>
      </w:r>
      <w:r>
        <w:t xml:space="preserve"> </w:t>
      </w:r>
      <w:r>
        <w:t xml:space="preserve">— where one design serves several host platforms, the catalogue renders the platform chrome variants (mobile OS chrome toggle, per-OS window chrome, terminal-width constraints) rather than pretending one chrome fits all; ports not yet designed are tracked, not faked. (3)</w:t>
      </w:r>
      <w:r>
        <w:t xml:space="preserve"> </w:t>
      </w:r>
      <w:r>
        <w:rPr>
          <w:b/>
          <w:bCs/>
        </w:rPr>
        <w:t xml:space="preserve">Self-contained, token-bound, both themes</w:t>
      </w:r>
      <w:r>
        <w:t xml:space="preserve"> </w:t>
      </w:r>
      <w:r>
        <w:t xml:space="preserve">— each screen is a self-contained artifact binding the §11.4.216 tokens, rendered light + dark, populated with REALISTIC product data (never lorem-ipsum for load-bearing content), carrying its per-screen state contract (loading / empty / error / populated states declared). (4)</w:t>
      </w:r>
      <w:r>
        <w:t xml:space="preserve"> </w:t>
      </w:r>
      <w:r>
        <w:rPr>
          <w:b/>
          <w:bCs/>
        </w:rPr>
        <w:t xml:space="preserve">Honesty markers for unbuilt behavior</w:t>
      </w:r>
      <w:r>
        <w:t xml:space="preserve"> </w:t>
      </w:r>
      <w:r>
        <w:t xml:space="preserve">— where the backing backend, contract, or product decision does not exist, the screen MUST say so: a</w:t>
      </w:r>
      <w:r>
        <w:t xml:space="preserve"> </w:t>
      </w:r>
      <w:r>
        <w:rPr>
          <w:rStyle w:val="VerbatimChar"/>
        </w:rPr>
        <w:t xml:space="preserve">[GAP: id]</w:t>
      </w:r>
      <w:r>
        <w:t xml:space="preserve"> </w:t>
      </w:r>
      <w:r>
        <w:t xml:space="preserve">/</w:t>
      </w:r>
      <w:r>
        <w:t xml:space="preserve"> </w:t>
      </w:r>
      <w:r>
        <w:rPr>
          <w:rStyle w:val="VerbatimChar"/>
        </w:rPr>
        <w:t xml:space="preserve">[OPEN: id]</w:t>
      </w:r>
      <w:r>
        <w:t xml:space="preserve"> </w:t>
      </w:r>
      <w:r>
        <w:t xml:space="preserve">marker (registered per §11.4.223), a labelled placeholder, an inline note, or a disabled control — NEVER a designed-as-if-real fake flow; designing a flow for an undecided behavior and presenting it as settled is a §11.4 PASS-bluff at the product-design layer.</w:t>
      </w:r>
    </w:p>
    <w:p>
      <w:pPr>
        <w:pStyle w:val="BodyText"/>
      </w:pPr>
      <w:r>
        <w:rPr>
          <w:b/>
          <w:bCs/>
        </w:rPr>
        <w:t xml:space="preserve">Honest boundary (§11.4.6).</w:t>
      </w:r>
      <w:r>
        <w:t xml:space="preserve"> </w:t>
      </w:r>
      <w:r>
        <w:t xml:space="preserve">A screen catalogue is the DESIGN contract, not the implementation: it proves every IA node has a designed, state-complete, theme-complete rendering — implementation correctness stays with §11.4.170 host-rendered pixel proof, §11.4.190 web-quality proof, and the §11.4.185 manual-QA final gate.</w:t>
      </w:r>
    </w:p>
    <w:p>
      <w:pPr>
        <w:pStyle w:val="BodyText"/>
      </w:pPr>
      <w:r>
        <w:t xml:space="preserve">Classification: universal (§11.4.17) — the consuming project supplies its surface list, IA contract, chrome-variant matrix, and realistic-data corpus per §11.4.35. Composes §11.4.6 / §11.4.162 / §11.4.170 / §11.4.185 / §11.4.190 / §11.4.216 / §11.4.218 / §11.4.223. Propagation gate</w:t>
      </w:r>
      <w:r>
        <w:t xml:space="preserve"> </w:t>
      </w:r>
      <w:r>
        <w:rPr>
          <w:rStyle w:val="VerbatimChar"/>
        </w:rPr>
        <w:t xml:space="preserve">CM-COVENANT-114-219-PROPAGATION</w:t>
      </w:r>
      <w:r>
        <w:t xml:space="preserve"> </w:t>
      </w:r>
      <w:r>
        <w:t xml:space="preserve">(literal</w:t>
      </w:r>
      <w:r>
        <w:t xml:space="preserve"> </w:t>
      </w:r>
      <w:r>
        <w:rPr>
          <w:rStyle w:val="VerbatimChar"/>
        </w:rPr>
        <w:t xml:space="preserve">11.4.219</w:t>
      </w:r>
      <w:r>
        <w:t xml:space="preserve">) + recommended gate</w:t>
      </w:r>
      <w:r>
        <w:t xml:space="preserve"> </w:t>
      </w:r>
      <w:r>
        <w:rPr>
          <w:rStyle w:val="VerbatimChar"/>
        </w:rPr>
        <w:t xml:space="preserve">CM-SCREEN-CATALOGUE-FULL-IA</w:t>
      </w:r>
      <w:r>
        <w:t xml:space="preserve"> </w:t>
      </w:r>
      <w:r>
        <w:t xml:space="preserve">(every IA node maps to a catalogue screen or a registered</w:t>
      </w:r>
      <w:r>
        <w:t xml:space="preserve"> </w:t>
      </w:r>
      <w:r>
        <w:rPr>
          <w:rStyle w:val="VerbatimChar"/>
        </w:rPr>
        <w:t xml:space="preserve">[OPEN]</w:t>
      </w:r>
      <w:r>
        <w:t xml:space="preserve"> </w:t>
      </w:r>
      <w:r>
        <w:t xml:space="preserve">id; every screen renders both themes; every screen whose backing contract is absent carries its honesty marker) + paired §1.1 mutation (remove a screen without registering the gap → gate FAILs; strip an honesty marker from an unbacked flow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§11.4.219.</w:t>
      </w:r>
    </w:p>
    <w:p>
      <w:pPr>
        <w:pStyle w:val="BodyText"/>
      </w:pPr>
      <w:r>
        <w:t xml:space="preserve">Non-compliance is a release blocker regardless of context. No escape hatch — no</w:t>
      </w:r>
      <w:r>
        <w:t xml:space="preserve"> </w:t>
      </w:r>
      <w:r>
        <w:rPr>
          <w:rStyle w:val="VerbatimChar"/>
        </w:rPr>
        <w:t xml:space="preserve">--partial-ia-coverage</w:t>
      </w:r>
      <w:r>
        <w:t xml:space="preserve">,</w:t>
      </w:r>
      <w:r>
        <w:t xml:space="preserve"> </w:t>
      </w:r>
      <w:r>
        <w:rPr>
          <w:rStyle w:val="VerbatimChar"/>
        </w:rPr>
        <w:t xml:space="preserve">--one-chrome-fits-all</w:t>
      </w:r>
      <w:r>
        <w:t xml:space="preserve">,</w:t>
      </w:r>
      <w:r>
        <w:t xml:space="preserve"> </w:t>
      </w:r>
      <w:r>
        <w:rPr>
          <w:rStyle w:val="VerbatimChar"/>
        </w:rPr>
        <w:t xml:space="preserve">--fake-flow-OK</w:t>
      </w:r>
      <w:r>
        <w:t xml:space="preserve">,</w:t>
      </w:r>
      <w:r>
        <w:t xml:space="preserve"> </w:t>
      </w:r>
      <w:r>
        <w:rPr>
          <w:rStyle w:val="VerbatimChar"/>
        </w:rPr>
        <w:t xml:space="preserve">--lorem-ipsum-content</w:t>
      </w:r>
      <w:r>
        <w:t xml:space="preserve">,</w:t>
      </w:r>
      <w:r>
        <w:t xml:space="preserve"> </w:t>
      </w:r>
      <w:r>
        <w:rPr>
          <w:rStyle w:val="VerbatimChar"/>
        </w:rPr>
        <w:t xml:space="preserve">--single-theme-screens</w:t>
      </w:r>
      <w:r>
        <w:t xml:space="preserve"> </w:t>
      </w:r>
      <w:r>
        <w:t xml:space="preserve">flag exists.</w:t>
      </w:r>
    </w:p>
    <w:bookmarkEnd w:id="15"/>
    <w:bookmarkStart w:id="16" w:name="X4ae159440b3b43a7468cc8b754622d05b6975e5"/>
    <w:p>
      <w:pPr>
        <w:pStyle w:val="Heading3"/>
      </w:pPr>
      <w:r>
        <w:t xml:space="preserve">§11.4.220 — Open-first design tooling: self-hosted open platforms are primary; proprietary tools are import/export targets only; design sources live in-repo in open formats (User mandate, 2026-07-22)</w:t>
      </w:r>
    </w:p>
    <w:p>
      <w:pPr>
        <w:pStyle w:val="FirstParagraph"/>
      </w:pPr>
      <w:r>
        <w:rPr>
          <w:b/>
          <w:bCs/>
        </w:rPr>
        <w:t xml:space="preserve">Forensic anchor — proving project (Helix Thready MVP design package, 2026-07-22).</w:t>
      </w:r>
      <w:r>
        <w:t xml:space="preserve"> </w:t>
      </w:r>
      <w:r>
        <w:t xml:space="preserve">Helix Thready's tooling capability check (</w:t>
      </w:r>
      <w:r>
        <w:rPr>
          <w:rStyle w:val="VerbatimChar"/>
        </w:rPr>
        <w:t xml:space="preserve">opendesign/TOOLING.md</w:t>
      </w:r>
      <w:r>
        <w:t xml:space="preserve">) and export capstone prove the posture: every design source lives IN-REPO in open formats (7 SVG brand masters,</w:t>
      </w:r>
      <w:r>
        <w:t xml:space="preserve"> </w:t>
      </w:r>
      <w:r>
        <w:rPr>
          <w:rStyle w:val="VerbatimChar"/>
        </w:rPr>
        <w:t xml:space="preserve">tokens.css</w:t>
      </w:r>
      <w:r>
        <w:t xml:space="preserve">, JSON manifests + 28 genuine</w:t>
      </w:r>
      <w:r>
        <w:t xml:space="preserve"> </w:t>
      </w:r>
      <w:r>
        <w:rPr>
          <w:rStyle w:val="VerbatimChar"/>
        </w:rPr>
        <w:t xml:space="preserve">.od-figma.json</w:t>
      </w:r>
      <w:r>
        <w:t xml:space="preserve"> </w:t>
      </w:r>
      <w:r>
        <w:t xml:space="preserve">IR captures, 6 hand-authored Lottie JSONs, self-contained HTML screens); the OpenDesign daemon/CLI status was RUNTIME-PROBED (live health endpoint, CLI round-trip, headless-vs-operator matrix), never assumed; and Figma is an IMPORT-ONLY bridge — the import plugin pins</w:t>
      </w:r>
      <w:r>
        <w:t xml:space="preserve"> </w:t>
      </w:r>
      <w:r>
        <w:rPr>
          <w:rStyle w:val="VerbatimChar"/>
        </w:rPr>
        <w:t xml:space="preserve">networkAccess: ["none"]</w:t>
      </w:r>
      <w:r>
        <w:t xml:space="preserve">, no cloud token exists, and the docs state verbatim that any "pushed to Figma cloud" claim from that environment would be a fabrication. The actual proprietary-tool file is</w:t>
      </w:r>
      <w:r>
        <w:t xml:space="preserve"> </w:t>
      </w:r>
      <w:r>
        <w:rPr>
          <w:rStyle w:val="VerbatimChar"/>
        </w:rPr>
        <w:t xml:space="preserve">[OPEN]</w:t>
      </w:r>
      <w:r>
        <w:t xml:space="preserve">-tracked, not claimed.</w:t>
      </w:r>
    </w:p>
    <w:p>
      <w:pPr>
        <w:pStyle w:val="BodyText"/>
      </w:pPr>
      <w:r>
        <w:rPr>
          <w:b/>
          <w:bCs/>
        </w:rPr>
        <w:t xml:space="preserve">The mandate.</w:t>
      </w:r>
      <w:r>
        <w:t xml:space="preserve"> </w:t>
      </w:r>
      <w:r>
        <w:t xml:space="preserve">Every governed project's design workflow MUST be OPEN-FIRST: (1)</w:t>
      </w:r>
      <w:r>
        <w:t xml:space="preserve"> </w:t>
      </w:r>
      <w:r>
        <w:rPr>
          <w:b/>
          <w:bCs/>
        </w:rPr>
        <w:t xml:space="preserve">Self-hosted open platform primary</w:t>
      </w:r>
      <w:r>
        <w:t xml:space="preserve"> </w:t>
      </w:r>
      <w:r>
        <w:t xml:space="preserve">— the collaborative design platform is an open-source, self-hostable tool (PenPot as the standing default), run SELF-HOSTED; together with the §11.4.162 OpenDesign engine it forms the primary design toolchain. (2)</w:t>
      </w:r>
      <w:r>
        <w:t xml:space="preserve"> </w:t>
      </w:r>
      <w:r>
        <w:rPr>
          <w:b/>
          <w:bCs/>
        </w:rPr>
        <w:t xml:space="preserve">Consumption ONLY via the PenPot submodule</w:t>
      </w:r>
      <w:r>
        <w:t xml:space="preserve"> </w:t>
      </w:r>
      <w:r>
        <w:t xml:space="preserve">— ALL PenPot mechanisms and utilities (the deployment recipe, RPC client utilities, access-token minting, import tooling, browser-hydration automation, MCP wiring) live in the dedicated reusable PenPot submodule (working name</w:t>
      </w:r>
      <w:r>
        <w:t xml:space="preserve"> </w:t>
      </w:r>
      <w:r>
        <w:rPr>
          <w:rStyle w:val="VerbatimChar"/>
        </w:rPr>
        <w:t xml:space="preserve">vasic-digital/PenPot</w:t>
      </w:r>
      <w:r>
        <w:t xml:space="preserve">; the final repository name was UNCONFIRMED at this anchor's writing — the generic referent "the PenPot submodule" is normative until the name lands), inherited BY REFERENCE per §11.4.28; the PenPot submodule itself consumes the Containers submodule (§11.4.76, rootless per §11.4.161) for orchestration and DECLARES that dependency in its §11.4.31</w:t>
      </w:r>
      <w:r>
        <w:t xml:space="preserve"> </w:t>
      </w:r>
      <w:r>
        <w:rPr>
          <w:rStyle w:val="VerbatimChar"/>
        </w:rPr>
        <w:t xml:space="preserve">helix-deps.yaml</w:t>
      </w:r>
      <w:r>
        <w:t xml:space="preserve"> </w:t>
      </w:r>
      <w:r>
        <w:t xml:space="preserve">manifest. Projects MUST NOT hand-roll PenPot deployment or client code outside the submodule — a missing capability is extended UPSTREAM in the submodule per §11.4.74, never worked around locally. The submodule carries MECHANISMS/UTILITIES ONLY, never project design content — per-project design sources stay in the project repo per clause (4). (3)</w:t>
      </w:r>
      <w:r>
        <w:t xml:space="preserve"> </w:t>
      </w:r>
      <w:r>
        <w:rPr>
          <w:b/>
          <w:bCs/>
        </w:rPr>
        <w:t xml:space="preserve">Proprietary tools are optional bridges, never the source of truth</w:t>
      </w:r>
      <w:r>
        <w:t xml:space="preserve"> </w:t>
      </w:r>
      <w:r>
        <w:t xml:space="preserve">— proprietary design tools (Figma or equivalent) MAY be used as import/export/review targets via documented bridge kits (variables payloads, IR captures, import guides), but NO design value may exist ONLY inside a proprietary tool or its cloud: the moment a decision lands, its canonical form lands in-repo. (4)</w:t>
      </w:r>
      <w:r>
        <w:t xml:space="preserve"> </w:t>
      </w:r>
      <w:r>
        <w:rPr>
          <w:b/>
          <w:bCs/>
        </w:rPr>
        <w:t xml:space="preserve">In-repo open formats</w:t>
      </w:r>
      <w:r>
        <w:t xml:space="preserve"> </w:t>
      </w:r>
      <w:r>
        <w:t xml:space="preserve">— design sources are versioned in the repository in open, diffable formats: SVG (vector masters), CSS (tokens per §11.4.216), JSON (manifests, IR captures, variables payloads), Lottie JSON (motion per §11.4.221), self-contained HTML (screens/library per §11.4.218/§11.4.219); binary proprietary formats are derived artifacts at most, never sources — the §11.4.215 discipline applied to design: a design that binds work MUST live tracked in the repo. (5)</w:t>
      </w:r>
      <w:r>
        <w:t xml:space="preserve"> </w:t>
      </w:r>
      <w:r>
        <w:rPr>
          <w:b/>
          <w:bCs/>
        </w:rPr>
        <w:t xml:space="preserve">Runtime-probed capability claims</w:t>
      </w:r>
      <w:r>
        <w:t xml:space="preserve"> </w:t>
      </w:r>
      <w:r>
        <w:t xml:space="preserve">— every tooling claim ("the daemon runs", "the CLI exports", "import works") is established by a runtime probe recorded as evidence (§11.4.201 real-condition discipline; §11.4.99 latest-source verification for format contracts), with an explicit headless-vs-operator-interactive matrix and an HONEST-LIMITS section; a cloud push claimed without a real credentialed run is a fabrication of §11.4 PASS-bluff severity. (6)</w:t>
      </w:r>
      <w:r>
        <w:t xml:space="preserve"> </w:t>
      </w:r>
      <w:r>
        <w:rPr>
          <w:b/>
          <w:bCs/>
        </w:rPr>
        <w:t xml:space="preserve">PenPot automation operational rules (research-verified)</w:t>
      </w:r>
      <w:r>
        <w:t xml:space="preserve"> </w:t>
      </w:r>
      <w:r>
        <w:t xml:space="preserve">— (a) the HEADLESS write path is the token-authenticated</w:t>
      </w:r>
      <w:r>
        <w:t xml:space="preserve"> </w:t>
      </w:r>
      <w:r>
        <w:rPr>
          <w:b/>
          <w:bCs/>
        </w:rPr>
        <w:t xml:space="preserve">RPC API</w:t>
      </w:r>
      <w:r>
        <w:t xml:space="preserve">: access tokens (minted under the backend's</w:t>
      </w:r>
      <w:r>
        <w:t xml:space="preserve"> </w:t>
      </w:r>
      <w:r>
        <w:rPr>
          <w:rStyle w:val="VerbatimChar"/>
        </w:rPr>
        <w:t xml:space="preserve">enable-access-tokens</w:t>
      </w:r>
      <w:r>
        <w:t xml:space="preserve"> </w:t>
      </w:r>
      <w:r>
        <w:t xml:space="preserve">flag, handled per §11.4.10) are the MANDATED auth mechanism for all automation — interactive OAuth relays / session-cookie scraping are FORBIDDEN as automation auth; (b) API-created PenPot files REQUIRE a</w:t>
      </w:r>
      <w:r>
        <w:t xml:space="preserve"> </w:t>
      </w:r>
      <w:r>
        <w:rPr>
          <w:b/>
          <w:bCs/>
        </w:rPr>
        <w:t xml:space="preserve">browser hydration pass</w:t>
      </w:r>
      <w:r>
        <w:t xml:space="preserve"> </w:t>
      </w:r>
      <w:r>
        <w:t xml:space="preserve">before handoff — thumbnails and text layout are materialized by the browser runtime, not by the write API, so a handoff of an unhydrated API-created file claimed render-ready is a §11.4 PASS-bluff at the design-handoff layer; the hydration pass is automated via the PenPot submodule's browser-hydration utility and its execution is recorded as evidence (§11.4.69).</w:t>
      </w:r>
    </w:p>
    <w:p>
      <w:pPr>
        <w:pStyle w:val="BodyText"/>
      </w:pPr>
      <w:r>
        <w:rPr>
          <w:b/>
          <w:bCs/>
        </w:rPr>
        <w:t xml:space="preserve">Honest boundary (§11.4.6).</w:t>
      </w:r>
      <w:r>
        <w:t xml:space="preserve"> </w:t>
      </w:r>
      <w:r>
        <w:t xml:space="preserve">Open-first governs WHERE truth lives and WHICH tool is primary; it does not forbid operators using proprietary tools for review/hand-off, and it does not claim bridges exist before they are built — missing bridges (PenPot/Lottie export, proprietary-file creation) are</w:t>
      </w:r>
      <w:r>
        <w:t xml:space="preserve"> </w:t>
      </w:r>
      <w:r>
        <w:rPr>
          <w:rStyle w:val="VerbatimChar"/>
        </w:rPr>
        <w:t xml:space="preserve">[OPEN]</w:t>
      </w:r>
      <w:r>
        <w:t xml:space="preserve">-registered work per §11.4.223/§11.4.197; and until the PenPot submodule's final repository name is confirmed, citations use the generic referent honestly rather than asserting an unconfirmed name as fact.</w:t>
      </w:r>
    </w:p>
    <w:p>
      <w:pPr>
        <w:pStyle w:val="BodyText"/>
      </w:pPr>
      <w:r>
        <w:t xml:space="preserve">Classification: universal (§11.4.17) — the consuming project supplies its platform choice within the open-first constraint, its PenPot-submodule pointer + configuration (instance URL, token env-var NAMES per §11.4.10), bridge kits, and probe scripts per §11.4.35. Composes §11.4.6 / §11.4.10 / §11.4.28 / §11.4.31 / §11.4.69 / §11.4.74 / §11.4.76 / §11.4.99 / §11.4.161 / §11.4.162 / §11.4.201 / §11.4.215 / §11.4.216 / §11.4.223. Propagation gate</w:t>
      </w:r>
      <w:r>
        <w:t xml:space="preserve"> </w:t>
      </w:r>
      <w:r>
        <w:rPr>
          <w:rStyle w:val="VerbatimChar"/>
        </w:rPr>
        <w:t xml:space="preserve">CM-COVENANT-114-220-PROPAGATION</w:t>
      </w:r>
      <w:r>
        <w:t xml:space="preserve"> </w:t>
      </w:r>
      <w:r>
        <w:t xml:space="preserve">(literal</w:t>
      </w:r>
      <w:r>
        <w:t xml:space="preserve"> </w:t>
      </w:r>
      <w:r>
        <w:rPr>
          <w:rStyle w:val="VerbatimChar"/>
        </w:rPr>
        <w:t xml:space="preserve">11.4.220</w:t>
      </w:r>
      <w:r>
        <w:t xml:space="preserve">) + recommended gate</w:t>
      </w:r>
      <w:r>
        <w:t xml:space="preserve"> </w:t>
      </w:r>
      <w:r>
        <w:rPr>
          <w:rStyle w:val="VerbatimChar"/>
        </w:rPr>
        <w:t xml:space="preserve">CM-OPEN-DESIGN-TOOLING-PRIMARY</w:t>
      </w:r>
      <w:r>
        <w:t xml:space="preserve"> </w:t>
      </w:r>
      <w:r>
        <w:t xml:space="preserve">(the self-hosted open platform is declared and consumed via the PenPot submodule — no hand-rolled PenPot deployment/client code in the project tree; the submodule's</w:t>
      </w:r>
      <w:r>
        <w:t xml:space="preserve"> </w:t>
      </w:r>
      <w:r>
        <w:rPr>
          <w:rStyle w:val="VerbatimChar"/>
        </w:rPr>
        <w:t xml:space="preserve">helix-deps.yaml</w:t>
      </w:r>
      <w:r>
        <w:t xml:space="preserve"> </w:t>
      </w:r>
      <w:r>
        <w:t xml:space="preserve">declares the Containers dependency; automation authenticates via access tokens, never an OAuth relay; every API-created file handed off carries a recorded hydration-pass run; every design source referenced by the design area resolves to an in-repo open-format file; every tooling capability claim cites a recorded probe; no design artifact exists only as a proprietary-cloud reference) + paired §1.1 mutation (hand-roll a PenPot RPC client in a project tree, or declare a proprietary tool as the source of truth, or hand off an API-created file with no hydration-pass record → gate FAILs; claim a capability with no recorded probe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§11.4.220.</w:t>
      </w:r>
    </w:p>
    <w:p>
      <w:pPr>
        <w:pStyle w:val="BodyText"/>
      </w:pPr>
      <w:r>
        <w:t xml:space="preserve">Non-compliance is a release blocker regardless of context. No escape hatch — no</w:t>
      </w:r>
      <w:r>
        <w:t xml:space="preserve"> </w:t>
      </w:r>
      <w:r>
        <w:rPr>
          <w:rStyle w:val="VerbatimChar"/>
        </w:rPr>
        <w:t xml:space="preserve">--figma-is-source-of-truth</w:t>
      </w:r>
      <w:r>
        <w:t xml:space="preserve">,</w:t>
      </w:r>
      <w:r>
        <w:t xml:space="preserve"> </w:t>
      </w:r>
      <w:r>
        <w:rPr>
          <w:rStyle w:val="VerbatimChar"/>
        </w:rPr>
        <w:t xml:space="preserve">--cloud-only-design</w:t>
      </w:r>
      <w:r>
        <w:t xml:space="preserve">,</w:t>
      </w:r>
      <w:r>
        <w:t xml:space="preserve"> </w:t>
      </w:r>
      <w:r>
        <w:rPr>
          <w:rStyle w:val="VerbatimChar"/>
        </w:rPr>
        <w:t xml:space="preserve">--proprietary-format-source</w:t>
      </w:r>
      <w:r>
        <w:t xml:space="preserve">,</w:t>
      </w:r>
      <w:r>
        <w:t xml:space="preserve"> </w:t>
      </w:r>
      <w:r>
        <w:rPr>
          <w:rStyle w:val="VerbatimChar"/>
        </w:rPr>
        <w:t xml:space="preserve">--hand-rolled-penpot-stack</w:t>
      </w:r>
      <w:r>
        <w:t xml:space="preserve">,</w:t>
      </w:r>
      <w:r>
        <w:t xml:space="preserve"> </w:t>
      </w:r>
      <w:r>
        <w:rPr>
          <w:rStyle w:val="VerbatimChar"/>
        </w:rPr>
        <w:t xml:space="preserve">--oauth-relay-automation</w:t>
      </w:r>
      <w:r>
        <w:t xml:space="preserve">,</w:t>
      </w:r>
      <w:r>
        <w:t xml:space="preserve"> </w:t>
      </w:r>
      <w:r>
        <w:rPr>
          <w:rStyle w:val="VerbatimChar"/>
        </w:rPr>
        <w:t xml:space="preserve">--skip-hydration-pass</w:t>
      </w:r>
      <w:r>
        <w:t xml:space="preserve">,</w:t>
      </w:r>
      <w:r>
        <w:t xml:space="preserve"> </w:t>
      </w:r>
      <w:r>
        <w:rPr>
          <w:rStyle w:val="VerbatimChar"/>
        </w:rPr>
        <w:t xml:space="preserve">--unprobed-tooling-claim</w:t>
      </w:r>
      <w:r>
        <w:t xml:space="preserve">,</w:t>
      </w:r>
      <w:r>
        <w:t xml:space="preserve"> </w:t>
      </w:r>
      <w:r>
        <w:rPr>
          <w:rStyle w:val="VerbatimChar"/>
        </w:rPr>
        <w:t xml:space="preserve">--rootful-design-stack</w:t>
      </w:r>
      <w:r>
        <w:t xml:space="preserve"> </w:t>
      </w:r>
      <w:r>
        <w:t xml:space="preserve">flag exists.</w:t>
      </w:r>
    </w:p>
    <w:bookmarkEnd w:id="16"/>
    <w:bookmarkStart w:id="17" w:name="X037651f389cd401b2b9e2c66c39c03e6f97b9d4"/>
    <w:p>
      <w:pPr>
        <w:pStyle w:val="Heading3"/>
      </w:pPr>
      <w:r>
        <w:t xml:space="preserve">§11.4.221 — Motion discipline: token-bound durations/easings + machine-readable manifest + reduced-motion static fallbacks everywhere (User mandate, 2026-07-22)</w:t>
      </w:r>
    </w:p>
    <w:p>
      <w:pPr>
        <w:pStyle w:val="FirstParagraph"/>
      </w:pPr>
      <w:r>
        <w:rPr>
          <w:b/>
          <w:bCs/>
        </w:rPr>
        <w:t xml:space="preserve">Forensic anchor — proving project (Helix Thready MVP design package, 2026-07-22).</w:t>
      </w:r>
      <w:r>
        <w:t xml:space="preserve"> </w:t>
      </w:r>
      <w:r>
        <w:t xml:space="preserve">Helix Thready's</w:t>
      </w:r>
      <w:r>
        <w:t xml:space="preserve"> </w:t>
      </w:r>
      <w:r>
        <w:rPr>
          <w:rStyle w:val="VerbatimChar"/>
        </w:rPr>
        <w:t xml:space="preserve">design/motion/</w:t>
      </w:r>
      <w:r>
        <w:t xml:space="preserve"> </w:t>
      </w:r>
      <w:r>
        <w:t xml:space="preserve">package proves the discipline: six hand-authored vector Lottie animations bound to the token motion values, each validated by parse + structural schema check + REAL render (lottie-web under jsdom with animation-progression assertions, plus headless-Chromium light+dark contact sheets) — unverified runtimes (</w:t>
      </w:r>
      <w:r>
        <w:rPr>
          <w:rStyle w:val="VerbatimChar"/>
        </w:rPr>
        <w:t xml:space="preserve">lottie-compose</w:t>
      </w:r>
      <w:r>
        <w:t xml:space="preserve"> </w:t>
      </w:r>
      <w:r>
        <w:t xml:space="preserve">/</w:t>
      </w:r>
      <w:r>
        <w:t xml:space="preserve"> </w:t>
      </w:r>
      <w:r>
        <w:rPr>
          <w:rStyle w:val="VerbatimChar"/>
        </w:rPr>
        <w:t xml:space="preserve">lottie-ios</w:t>
      </w:r>
      <w:r>
        <w:t xml:space="preserve">) honestly</w:t>
      </w:r>
      <w:r>
        <w:t xml:space="preserve"> </w:t>
      </w:r>
      <w:r>
        <w:rPr>
          <w:rStyle w:val="VerbatimChar"/>
        </w:rPr>
        <w:t xml:space="preserve">[OPEN]</w:t>
      </w:r>
      <w:r>
        <w:t xml:space="preserve">-tracked; FIVE static reduced-motion fallback SVGs whose geometry is DERIVED FROM THE LOTTIE KEYFRAMES (the exact poster frame for loopers, the final frame for one-shots); and a machine-readable</w:t>
      </w:r>
      <w:r>
        <w:t xml:space="preserve"> </w:t>
      </w:r>
      <w:r>
        <w:rPr>
          <w:rStyle w:val="VerbatimChar"/>
        </w:rPr>
        <w:t xml:space="preserve">motion-manifest.json</w:t>
      </w:r>
      <w:r>
        <w:t xml:space="preserve"> </w:t>
      </w:r>
      <w:r>
        <w:t xml:space="preserve">v2 naming, per animation, its loop mode, poster frame, segment markers, and</w:t>
      </w:r>
      <w:r>
        <w:t xml:space="preserve"> </w:t>
      </w:r>
      <w:r>
        <w:rPr>
          <w:rStyle w:val="VerbatimChar"/>
        </w:rPr>
        <w:t xml:space="preserve">reducedMotionFallback</w:t>
      </w:r>
      <w:r>
        <w:t xml:space="preserve"> </w:t>
      </w:r>
      <w:r>
        <w:t xml:space="preserve">— with one DELIBERATE</w:t>
      </w:r>
      <w:r>
        <w:t xml:space="preserve"> </w:t>
      </w:r>
      <w:r>
        <w:rPr>
          <w:rStyle w:val="VerbatimChar"/>
        </w:rPr>
        <w:t xml:space="preserve">null</w:t>
      </w:r>
      <w:r>
        <w:t xml:space="preserve"> </w:t>
      </w:r>
      <w:r>
        <w:t xml:space="preserve">(an instant-cut transition) recorded with its reason, never a silent absence.</w:t>
      </w:r>
    </w:p>
    <w:p>
      <w:pPr>
        <w:pStyle w:val="BodyText"/>
      </w:pPr>
      <w:r>
        <w:rPr>
          <w:b/>
          <w:bCs/>
        </w:rPr>
        <w:t xml:space="preserve">The mandate.</w:t>
      </w:r>
      <w:r>
        <w:t xml:space="preserve"> </w:t>
      </w:r>
      <w:r>
        <w:t xml:space="preserve">All motion in every governed project MUST satisfy: (1)</w:t>
      </w:r>
      <w:r>
        <w:t xml:space="preserve"> </w:t>
      </w:r>
      <w:r>
        <w:rPr>
          <w:b/>
          <w:bCs/>
        </w:rPr>
        <w:t xml:space="preserve">Token-bound timing</w:t>
      </w:r>
      <w:r>
        <w:t xml:space="preserve"> </w:t>
      </w:r>
      <w:r>
        <w:t xml:space="preserve">— every duration and easing binds to the §11.4.216 motion tokens (the shared base durations + easing curves); documented choreography MAY extend them, but an animation timed by an ad-hoc literal that bypasses the token layer is a §11.4.221 violation (per §11.4.6 no-invented-values). (2)</w:t>
      </w:r>
      <w:r>
        <w:t xml:space="preserve"> </w:t>
      </w:r>
      <w:r>
        <w:rPr>
          <w:b/>
          <w:bCs/>
        </w:rPr>
        <w:t xml:space="preserve">Reduced-motion fallback per animation</w:t>
      </w:r>
      <w:r>
        <w:t xml:space="preserve"> </w:t>
      </w:r>
      <w:r>
        <w:t xml:space="preserve">— every playable animation ships a STATIC fallback derived from its own keyframes (poster frame for looping animations, final frame for one-shots), delivered as an open-format asset; where the correct reduced-motion behavior is intentionally something else (instant cut, no artwork), that is recorded EXPLICITLY in the manifest with its reason — a missing fallback is a gap, a silent missing fallback is a violation. (3)</w:t>
      </w:r>
      <w:r>
        <w:t xml:space="preserve"> </w:t>
      </w:r>
      <w:r>
        <w:rPr>
          <w:b/>
          <w:bCs/>
        </w:rPr>
        <w:t xml:space="preserve">Machine-readable manifest</w:t>
      </w:r>
      <w:r>
        <w:t xml:space="preserve"> </w:t>
      </w:r>
      <w:r>
        <w:t xml:space="preserve">— a versioned motion manifest enumerates every animation with its id, loop mode, poster frame, reduced-motion mode, and fallback reference; runtimes consume the MANIFEST, not folklore. (4)</w:t>
      </w:r>
      <w:r>
        <w:t xml:space="preserve"> </w:t>
      </w:r>
      <w:r>
        <w:rPr>
          <w:rStyle w:val="VerbatimChar"/>
          <w:b/>
          <w:bCs/>
        </w:rPr>
        <w:t xml:space="preserve">prefers-reduced-motion</w:t>
      </w:r>
      <w:r>
        <w:rPr>
          <w:b/>
          <w:bCs/>
        </w:rPr>
        <w:t xml:space="preserve"> </w:t>
      </w:r>
      <w:r>
        <w:rPr>
          <w:b/>
          <w:bCs/>
        </w:rPr>
        <w:t xml:space="preserve">honored everywhere</w:t>
      </w:r>
      <w:r>
        <w:t xml:space="preserve"> </w:t>
      </w:r>
      <w:r>
        <w:t xml:space="preserve">— every surface (web, library, screens, previews, implementations) gates motion on</w:t>
      </w:r>
      <w:r>
        <w:t xml:space="preserve"> </w:t>
      </w:r>
      <w:r>
        <w:rPr>
          <w:rStyle w:val="VerbatimChar"/>
        </w:rPr>
        <w:t xml:space="preserve">prefers-reduced-motion: reduce</w:t>
      </w:r>
      <w:r>
        <w:t xml:space="preserve"> </w:t>
      </w:r>
      <w:r>
        <w:t xml:space="preserve">with TARGETED component-level gates (never a global</w:t>
      </w:r>
      <w:r>
        <w:t xml:space="preserve"> </w:t>
      </w:r>
      <w:r>
        <w:rPr>
          <w:rStyle w:val="VerbatimChar"/>
        </w:rPr>
        <w:t xml:space="preserve">*</w:t>
      </w:r>
      <w:r>
        <w:t xml:space="preserve"> </w:t>
      </w:r>
      <w:r>
        <w:t xml:space="preserve">kill-switch, per the §11.4.217 review lens), swapping in the manifest-named fallback. (5)</w:t>
      </w:r>
      <w:r>
        <w:t xml:space="preserve"> </w:t>
      </w:r>
      <w:r>
        <w:rPr>
          <w:b/>
          <w:bCs/>
        </w:rPr>
        <w:t xml:space="preserve">Render-validated, honestly bounded</w:t>
      </w:r>
      <w:r>
        <w:t xml:space="preserve"> </w:t>
      </w:r>
      <w:r>
        <w:t xml:space="preserve">— no animation is claimed working without a real render in a real runtime (the §11.4.107(10) analyzer discipline applied to motion assets: parse + structure + rendered geometry with progression assertions); runtimes not yet exercised are named</w:t>
      </w:r>
      <w:r>
        <w:t xml:space="preserve"> </w:t>
      </w:r>
      <w:r>
        <w:rPr>
          <w:rStyle w:val="VerbatimChar"/>
        </w:rPr>
        <w:t xml:space="preserve">[OPEN]</w:t>
      </w:r>
      <w:r>
        <w:t xml:space="preserve"> </w:t>
      </w:r>
      <w:r>
        <w:t xml:space="preserve">items, never assumed.</w:t>
      </w:r>
    </w:p>
    <w:p>
      <w:pPr>
        <w:pStyle w:val="BodyText"/>
      </w:pPr>
      <w:r>
        <w:rPr>
          <w:b/>
          <w:bCs/>
        </w:rPr>
        <w:t xml:space="preserve">Honest boundary (§11.4.6).</w:t>
      </w:r>
      <w:r>
        <w:t xml:space="preserve"> </w:t>
      </w:r>
      <w:r>
        <w:t xml:space="preserve">The manifest + fallbacks prove reduced-motion COVERAGE; they do not prove physical-display fidelity (a pixel A/B of statics against frozen frames on a real display remains its own tracked item), and jsdom/headless renders do not certify mobile runtimes — the boundary is stated, tracked, and never blurred.</w:t>
      </w:r>
    </w:p>
    <w:p>
      <w:pPr>
        <w:pStyle w:val="BodyText"/>
      </w:pPr>
      <w:r>
        <w:t xml:space="preserve">Classification: universal (§11.4.17) — the consuming project supplies its animation inventory, motion tokens, manifest path, and runtime list per §11.4.35. Composes §11.4.6 / §11.4.107(10) / §11.4.162 / §11.4.170 / §11.4.216 / §11.4.218 / §11.4.223. Propagation gate</w:t>
      </w:r>
      <w:r>
        <w:t xml:space="preserve"> </w:t>
      </w:r>
      <w:r>
        <w:rPr>
          <w:rStyle w:val="VerbatimChar"/>
        </w:rPr>
        <w:t xml:space="preserve">CM-COVENANT-114-221-PROPAGATION</w:t>
      </w:r>
      <w:r>
        <w:t xml:space="preserve"> </w:t>
      </w:r>
      <w:r>
        <w:t xml:space="preserve">(literal</w:t>
      </w:r>
      <w:r>
        <w:t xml:space="preserve"> </w:t>
      </w:r>
      <w:r>
        <w:rPr>
          <w:rStyle w:val="VerbatimChar"/>
        </w:rPr>
        <w:t xml:space="preserve">11.4.221</w:t>
      </w:r>
      <w:r>
        <w:t xml:space="preserve">) + recommended gate</w:t>
      </w:r>
      <w:r>
        <w:t xml:space="preserve"> </w:t>
      </w:r>
      <w:r>
        <w:rPr>
          <w:rStyle w:val="VerbatimChar"/>
        </w:rPr>
        <w:t xml:space="preserve">CM-MOTION-TOKEN-BOUND-REDUCED-FALLBACK</w:t>
      </w:r>
      <w:r>
        <w:t xml:space="preserve"> </w:t>
      </w:r>
      <w:r>
        <w:t xml:space="preserve">(every animation's timing resolves to tokens; the manifest enumerates every playable animation; every manifest entry names a fallback or an explicit recorded null-with-reason; every animation carries its parse/structure/render validation record) + paired §1.1 mutation (add an animation with a literal ad-hoc duration → gate FAILs; drop a fallback reference without a recorded reason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§11.4.221.</w:t>
      </w:r>
    </w:p>
    <w:p>
      <w:pPr>
        <w:pStyle w:val="BodyText"/>
      </w:pPr>
      <w:r>
        <w:t xml:space="preserve">Non-compliance is a release blocker regardless of context. No escape hatch — no</w:t>
      </w:r>
      <w:r>
        <w:t xml:space="preserve"> </w:t>
      </w:r>
      <w:r>
        <w:rPr>
          <w:rStyle w:val="VerbatimChar"/>
        </w:rPr>
        <w:t xml:space="preserve">--ad-hoc-duration</w:t>
      </w:r>
      <w:r>
        <w:t xml:space="preserve">,</w:t>
      </w:r>
      <w:r>
        <w:t xml:space="preserve"> </w:t>
      </w:r>
      <w:r>
        <w:rPr>
          <w:rStyle w:val="VerbatimChar"/>
        </w:rPr>
        <w:t xml:space="preserve">--no-reduced-motion-fallback</w:t>
      </w:r>
      <w:r>
        <w:t xml:space="preserve">,</w:t>
      </w:r>
      <w:r>
        <w:t xml:space="preserve"> </w:t>
      </w:r>
      <w:r>
        <w:rPr>
          <w:rStyle w:val="VerbatimChar"/>
        </w:rPr>
        <w:t xml:space="preserve">--global-star-motion-kill</w:t>
      </w:r>
      <w:r>
        <w:t xml:space="preserve">,</w:t>
      </w:r>
      <w:r>
        <w:t xml:space="preserve"> </w:t>
      </w:r>
      <w:r>
        <w:rPr>
          <w:rStyle w:val="VerbatimChar"/>
        </w:rPr>
        <w:t xml:space="preserve">--manifest-optional</w:t>
      </w:r>
      <w:r>
        <w:t xml:space="preserve">,</w:t>
      </w:r>
      <w:r>
        <w:t xml:space="preserve"> </w:t>
      </w:r>
      <w:r>
        <w:rPr>
          <w:rStyle w:val="VerbatimChar"/>
        </w:rPr>
        <w:t xml:space="preserve">--unrendered-animation-claimed-working</w:t>
      </w:r>
      <w:r>
        <w:t xml:space="preserve"> </w:t>
      </w:r>
      <w:r>
        <w:t xml:space="preserve">flag exists.</w:t>
      </w:r>
    </w:p>
    <w:bookmarkEnd w:id="17"/>
    <w:bookmarkStart w:id="18" w:name="X9d42527b222d711f4abd2a78549a76c6cc1e352"/>
    <w:p>
      <w:pPr>
        <w:pStyle w:val="Heading3"/>
      </w:pPr>
      <w:r>
        <w:t xml:space="preserve">§11.4.222 — Design-completion export wave: a design is not done until token codegen, the honest-output raster matrix, both-theme renders, hand-off bundles, and doc twins land (User mandate, 2026-07-22)</w:t>
      </w:r>
    </w:p>
    <w:p>
      <w:pPr>
        <w:pStyle w:val="FirstParagraph"/>
      </w:pPr>
      <w:r>
        <w:rPr>
          <w:b/>
          <w:bCs/>
        </w:rPr>
        <w:t xml:space="preserve">Forensic anchor — proving project (Helix Thready MVP design package, 2026-07-22).</w:t>
      </w:r>
      <w:r>
        <w:t xml:space="preserve"> </w:t>
      </w:r>
      <w:r>
        <w:t xml:space="preserve">Helix Thready's export capstone proves the wave: an icon/asset raster matrix locked 1:1 to its generator (</w:t>
      </w:r>
      <w:r>
        <w:rPr>
          <w:rStyle w:val="VerbatimChar"/>
        </w:rPr>
        <w:t xml:space="preserve">generate-raster.sh</w:t>
      </w:r>
      <w:r>
        <w:t xml:space="preserve">), which SELECTS its SVG renderer by PROBE — each candidate (rsvg-convert → inkscape → resvg → headless Chromium → ImageMagick) must pass a real probe render with content verification before it is used, a failing candidate falls through with a note, and if NONE passes the script exits with instructions and writes NOTHING ("No PNGs were written (output is not faked)"); an absent bundler (iconutil for</w:t>
      </w:r>
      <w:r>
        <w:t xml:space="preserve"> </w:t>
      </w:r>
      <w:r>
        <w:rPr>
          <w:rStyle w:val="VerbatimChar"/>
        </w:rPr>
        <w:t xml:space="preserve">.icns</w:t>
      </w:r>
      <w:r>
        <w:t xml:space="preserve">) SKIPs with a note — a verified live run produced 83 REAL rasters, every one checked non-blank; 49 screen PNGs (22 screens × light+dark at a confirmed 2× scale, theme forced deterministically, every file verified size-floor + stddev &gt; 0); a 54-page bound design book; and PenPot + Figma hand-off bundles whose impossible/operator-only legs are recorded as DEFERRED with reasons — never faked.</w:t>
      </w:r>
    </w:p>
    <w:p>
      <w:pPr>
        <w:pStyle w:val="BodyText"/>
      </w:pPr>
      <w:r>
        <w:rPr>
          <w:b/>
          <w:bCs/>
        </w:rPr>
        <w:t xml:space="preserve">The mandate.</w:t>
      </w:r>
      <w:r>
        <w:t xml:space="preserve"> </w:t>
      </w:r>
      <w:r>
        <w:t xml:space="preserve">A design (a design system, a brand, a screen set, or a design change wave) is NOT "done" until its EXPORT WAVE has run and its outputs are verified: (1)</w:t>
      </w:r>
      <w:r>
        <w:t xml:space="preserve"> </w:t>
      </w:r>
      <w:r>
        <w:rPr>
          <w:b/>
          <w:bCs/>
        </w:rPr>
        <w:t xml:space="preserve">Per-platform token codegen</w:t>
      </w:r>
      <w:r>
        <w:t xml:space="preserve"> </w:t>
      </w:r>
      <w:r>
        <w:t xml:space="preserve">— the §11.4.216 generated bindings are (re)generated from the canonical token source, or their absence is</w:t>
      </w:r>
      <w:r>
        <w:t xml:space="preserve"> </w:t>
      </w:r>
      <w:r>
        <w:rPr>
          <w:rStyle w:val="VerbatimChar"/>
        </w:rPr>
        <w:t xml:space="preserve">[OPEN]</w:t>
      </w:r>
      <w:r>
        <w:t xml:space="preserve">-tracked. (2)</w:t>
      </w:r>
      <w:r>
        <w:t xml:space="preserve"> </w:t>
      </w:r>
      <w:r>
        <w:rPr>
          <w:b/>
          <w:bCs/>
        </w:rPr>
        <w:t xml:space="preserve">Full icon/asset raster matrix via an honest-output pipeline</w:t>
      </w:r>
      <w:r>
        <w:t xml:space="preserve"> </w:t>
      </w:r>
      <w:r>
        <w:t xml:space="preserve">— the per-platform pixel/format matrix (every OS surface) is documented, locked 1:1 to a generator script, and produced by a pipeline that (a) PROBE-TESTS every candidate renderer with a real content-verified probe render before trusting it (§11.4.201 — a renderer's presence is not its correctness; an unprobed renderer would silently emit blank/garbage icons), (b) falls through to the next candidate on probe failure, (c) SKIPs-with-note any step whose tool is genuinely absent (§11.4.3 / §11.4.69 honest-skip discipline), and (d) NEVER writes a placeholder, blank, or faked output — every produced raster is verified non-degenerate (size floor + non-blank content check; multi-resolution bundles verified to contain their declared members, per §11.4.38's open-the-artifact discipline). (3)</w:t>
      </w:r>
      <w:r>
        <w:t xml:space="preserve"> </w:t>
      </w:r>
      <w:r>
        <w:rPr>
          <w:b/>
          <w:bCs/>
        </w:rPr>
        <w:t xml:space="preserve">Both-theme screen renders + bound design book</w:t>
      </w:r>
      <w:r>
        <w:t xml:space="preserve"> </w:t>
      </w:r>
      <w:r>
        <w:t xml:space="preserve">— every catalogue screen rendered in light AND dark at the declared scale with deterministic theme forcing, each render verified non-blank, and the set bound into the portable design book. (4)</w:t>
      </w:r>
      <w:r>
        <w:t xml:space="preserve"> </w:t>
      </w:r>
      <w:r>
        <w:rPr>
          <w:b/>
          <w:bCs/>
        </w:rPr>
        <w:t xml:space="preserve">Hand-off bundles</w:t>
      </w:r>
      <w:r>
        <w:t xml:space="preserve"> </w:t>
      </w:r>
      <w:r>
        <w:t xml:space="preserve">— the open-platform and proprietary-bridge bundles (§11.4.220) built with per-leg HONEST statuses: produced / deferred-operator-only / impossible-with-reason. (5)</w:t>
      </w:r>
      <w:r>
        <w:t xml:space="preserve"> </w:t>
      </w:r>
      <w:r>
        <w:rPr>
          <w:b/>
          <w:bCs/>
        </w:rPr>
        <w:t xml:space="preserve">Doc twins regenerated</w:t>
      </w:r>
      <w:r>
        <w:t xml:space="preserve"> </w:t>
      </w:r>
      <w:r>
        <w:t xml:space="preserve">— the design area's §11.4.65 / §11.4.73 export siblings are regenerated so no reader gets a divergent view. A design wave reported complete without its export wave — or with any faked/unverified export output — is a §11.4 PASS-bluff at the design-delivery layer.</w:t>
      </w:r>
    </w:p>
    <w:p>
      <w:pPr>
        <w:pStyle w:val="BodyText"/>
      </w:pPr>
      <w:r>
        <w:rPr>
          <w:b/>
          <w:bCs/>
        </w:rPr>
        <w:t xml:space="preserve">Honest boundary (§11.4.6).</w:t>
      </w:r>
      <w:r>
        <w:t xml:space="preserve"> </w:t>
      </w:r>
      <w:r>
        <w:t xml:space="preserve">The export wave proves the design's ARTIFACTS exist, are real, and are non-degenerate; it does not prove visual correctness on physical displays (§11.4.170 / §11.4.190 / §11.4.185 own that), and a wave rendered before later additions is honestly stamped with its coverage boundary — regeneration lands as a tracked downstream pass, never claimed retroactively.</w:t>
      </w:r>
    </w:p>
    <w:p>
      <w:pPr>
        <w:pStyle w:val="BodyText"/>
      </w:pPr>
      <w:r>
        <w:t xml:space="preserve">Classification: universal (§11.4.17) — the consuming project supplies its raster matrix, generator, renderer candidates, book builder, and bundle targets per §11.4.35. Composes §11.4.3 / §11.4.6 / §11.4.38 / §11.4.65 / §11.4.69 / §11.4.73 / §11.4.201 / §11.4.216 / §11.4.219 / §11.4.220. Propagation gate</w:t>
      </w:r>
      <w:r>
        <w:t xml:space="preserve"> </w:t>
      </w:r>
      <w:r>
        <w:rPr>
          <w:rStyle w:val="VerbatimChar"/>
        </w:rPr>
        <w:t xml:space="preserve">CM-COVENANT-114-222-PROPAGATION</w:t>
      </w:r>
      <w:r>
        <w:t xml:space="preserve"> </w:t>
      </w:r>
      <w:r>
        <w:t xml:space="preserve">(literal</w:t>
      </w:r>
      <w:r>
        <w:t xml:space="preserve"> </w:t>
      </w:r>
      <w:r>
        <w:rPr>
          <w:rStyle w:val="VerbatimChar"/>
        </w:rPr>
        <w:t xml:space="preserve">11.4.222</w:t>
      </w:r>
      <w:r>
        <w:t xml:space="preserve">) + recommended gate</w:t>
      </w:r>
      <w:r>
        <w:t xml:space="preserve"> </w:t>
      </w:r>
      <w:r>
        <w:rPr>
          <w:rStyle w:val="VerbatimChar"/>
        </w:rPr>
        <w:t xml:space="preserve">CM-DESIGN-EXPORT-WAVE-COMPLETE</w:t>
      </w:r>
      <w:r>
        <w:t xml:space="preserve"> </w:t>
      </w:r>
      <w:r>
        <w:t xml:space="preserve">(the raster generator probe-tests renderers and content-verifies outputs; the matrix doc and generator agree 1:1; every screen has both-theme verified renders or a tracked gap; every bundle leg carries an honest status; the doc twins are in sync) + paired §1.1 mutation (make a renderer skip its probe, or write a placeholder PNG on renderer absence → gate FAILs; report the wave complete with a stale doc twin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§11.4.222.</w:t>
      </w:r>
    </w:p>
    <w:p>
      <w:pPr>
        <w:pStyle w:val="BodyText"/>
      </w:pPr>
      <w:r>
        <w:t xml:space="preserve">Non-compliance is a release blocker regardless of context. No escape hatch — no</w:t>
      </w:r>
      <w:r>
        <w:t xml:space="preserve"> </w:t>
      </w:r>
      <w:r>
        <w:rPr>
          <w:rStyle w:val="VerbatimChar"/>
        </w:rPr>
        <w:t xml:space="preserve">--skip-export-wave</w:t>
      </w:r>
      <w:r>
        <w:t xml:space="preserve">,</w:t>
      </w:r>
      <w:r>
        <w:t xml:space="preserve"> </w:t>
      </w:r>
      <w:r>
        <w:rPr>
          <w:rStyle w:val="VerbatimChar"/>
        </w:rPr>
        <w:t xml:space="preserve">--unprobed-renderer</w:t>
      </w:r>
      <w:r>
        <w:t xml:space="preserve">,</w:t>
      </w:r>
      <w:r>
        <w:t xml:space="preserve"> </w:t>
      </w:r>
      <w:r>
        <w:rPr>
          <w:rStyle w:val="VerbatimChar"/>
        </w:rPr>
        <w:t xml:space="preserve">--placeholder-raster-OK</w:t>
      </w:r>
      <w:r>
        <w:t xml:space="preserve">,</w:t>
      </w:r>
      <w:r>
        <w:t xml:space="preserve"> </w:t>
      </w:r>
      <w:r>
        <w:rPr>
          <w:rStyle w:val="VerbatimChar"/>
        </w:rPr>
        <w:t xml:space="preserve">--single-theme-renders</w:t>
      </w:r>
      <w:r>
        <w:t xml:space="preserve">,</w:t>
      </w:r>
      <w:r>
        <w:t xml:space="preserve"> </w:t>
      </w:r>
      <w:r>
        <w:rPr>
          <w:rStyle w:val="VerbatimChar"/>
        </w:rPr>
        <w:t xml:space="preserve">--fake-bundle-status</w:t>
      </w:r>
      <w:r>
        <w:t xml:space="preserve">,</w:t>
      </w:r>
      <w:r>
        <w:t xml:space="preserve"> </w:t>
      </w:r>
      <w:r>
        <w:rPr>
          <w:rStyle w:val="VerbatimChar"/>
        </w:rPr>
        <w:t xml:space="preserve">--stale-doc-twins</w:t>
      </w:r>
      <w:r>
        <w:t xml:space="preserve"> </w:t>
      </w:r>
      <w:r>
        <w:t xml:space="preserve">flag exists.</w:t>
      </w:r>
    </w:p>
    <w:bookmarkEnd w:id="18"/>
    <w:bookmarkStart w:id="19" w:name="X2f3649ea69673d03aad71d3d85462aba8c568ae"/>
    <w:p>
      <w:pPr>
        <w:pStyle w:val="Heading3"/>
      </w:pPr>
      <w:r>
        <w:t xml:space="preserve">§11.4.223 — Provenance-marker discipline for design documentation + central open-item registry in the area index (User mandate, 2026-07-22)</w:t>
      </w:r>
    </w:p>
    <w:p>
      <w:pPr>
        <w:pStyle w:val="FirstParagraph"/>
      </w:pPr>
      <w:r>
        <w:rPr>
          <w:b/>
          <w:bCs/>
        </w:rPr>
        <w:t xml:space="preserve">Forensic anchor — proving project (Helix Thready MVP design package, 2026-07-22).</w:t>
      </w:r>
      <w:r>
        <w:t xml:space="preserve"> </w:t>
      </w:r>
      <w:r>
        <w:t xml:space="preserve">Every statement in the Helix Thready design area carries an inline provenance marker from a closed vocabulary (</w:t>
      </w:r>
      <w:r>
        <w:rPr>
          <w:rStyle w:val="VerbatimChar"/>
        </w:rPr>
        <w:t xml:space="preserve">[VERIFIED]</w:t>
      </w:r>
      <w:r>
        <w:t xml:space="preserve">,</w:t>
      </w:r>
      <w:r>
        <w:t xml:space="preserve"> </w:t>
      </w:r>
      <w:r>
        <w:rPr>
          <w:rStyle w:val="VerbatimChar"/>
        </w:rPr>
        <w:t xml:space="preserve">[OPERATOR]</w:t>
      </w:r>
      <w:r>
        <w:t xml:space="preserve">,</w:t>
      </w:r>
      <w:r>
        <w:t xml:space="preserve"> </w:t>
      </w:r>
      <w:r>
        <w:rPr>
          <w:rStyle w:val="VerbatimChar"/>
        </w:rPr>
        <w:t xml:space="preserve">[RESEARCH]</w:t>
      </w:r>
      <w:r>
        <w:t xml:space="preserve">,</w:t>
      </w:r>
      <w:r>
        <w:t xml:space="preserve"> </w:t>
      </w:r>
      <w:r>
        <w:rPr>
          <w:rStyle w:val="VerbatimChar"/>
        </w:rPr>
        <w:t xml:space="preserve">[DEFAULT — adjustable]</w:t>
      </w:r>
      <w:r>
        <w:t xml:space="preserve">,</w:t>
      </w:r>
      <w:r>
        <w:t xml:space="preserve"> </w:t>
      </w:r>
      <w:r>
        <w:rPr>
          <w:rStyle w:val="VerbatimChar"/>
        </w:rPr>
        <w:t xml:space="preserve">[ASSUMED]</w:t>
      </w:r>
      <w:r>
        <w:t xml:space="preserve">,</w:t>
      </w:r>
      <w:r>
        <w:t xml:space="preserve"> </w:t>
      </w:r>
      <w:r>
        <w:rPr>
          <w:rStyle w:val="VerbatimChar"/>
        </w:rPr>
        <w:t xml:space="preserve">[BUILD-NEW]</w:t>
      </w:r>
      <w:r>
        <w:t xml:space="preserve">,</w:t>
      </w:r>
      <w:r>
        <w:t xml:space="preserve"> </w:t>
      </w:r>
      <w:r>
        <w:rPr>
          <w:rStyle w:val="VerbatimChar"/>
        </w:rPr>
        <w:t xml:space="preserve">[IN-HOUSE: module]</w:t>
      </w:r>
      <w:r>
        <w:t xml:space="preserve">,</w:t>
      </w:r>
      <w:r>
        <w:t xml:space="preserve"> </w:t>
      </w:r>
      <w:r>
        <w:rPr>
          <w:rStyle w:val="VerbatimChar"/>
        </w:rPr>
        <w:t xml:space="preserve">[CONSTITUTION §x]</w:t>
      </w:r>
      <w:r>
        <w:t xml:space="preserve">,</w:t>
      </w:r>
      <w:r>
        <w:t xml:space="preserve"> </w:t>
      </w:r>
      <w:r>
        <w:rPr>
          <w:rStyle w:val="VerbatimChar"/>
        </w:rPr>
        <w:t xml:space="preserve">[GAP: id]</w:t>
      </w:r>
      <w:r>
        <w:t xml:space="preserve">,</w:t>
      </w:r>
      <w:r>
        <w:t xml:space="preserve"> </w:t>
      </w:r>
      <w:r>
        <w:rPr>
          <w:rStyle w:val="VerbatimChar"/>
        </w:rPr>
        <w:t xml:space="preserve">[OPEN: id]</w:t>
      </w:r>
      <w:r>
        <w:t xml:space="preserve">); the area index maintains the CANONICAL open-item registry — 41 registered ids across nine families, VERIFIED AGAINST THE TREE in both directions (every id in the tree exists in the registry, no registry id is absent from the tree), with per-id state (open / narrowed / closed, each closure citing the closing revision) — and a verified-vs-assumption ledger separating measured fact from proposed default from named scaffold.</w:t>
      </w:r>
    </w:p>
    <w:p>
      <w:pPr>
        <w:pStyle w:val="BodyText"/>
      </w:pPr>
      <w:r>
        <w:rPr>
          <w:b/>
          <w:bCs/>
        </w:rPr>
        <w:t xml:space="preserve">The mandate.</w:t>
      </w:r>
      <w:r>
        <w:t xml:space="preserve"> </w:t>
      </w:r>
      <w:r>
        <w:t xml:space="preserve">Every design document in a governed project MUST carry provenance discipline: (1)</w:t>
      </w:r>
      <w:r>
        <w:t xml:space="preserve"> </w:t>
      </w:r>
      <w:r>
        <w:rPr>
          <w:b/>
          <w:bCs/>
        </w:rPr>
        <w:t xml:space="preserve">Mandatory marker vocabulary</w:t>
      </w:r>
      <w:r>
        <w:t xml:space="preserve"> </w:t>
      </w:r>
      <w:r>
        <w:t xml:space="preserve">— a closed, project-declared marker set whose minimum core is</w:t>
      </w:r>
      <w:r>
        <w:t xml:space="preserve"> </w:t>
      </w:r>
      <w:r>
        <w:rPr>
          <w:rStyle w:val="VerbatimChar"/>
        </w:rPr>
        <w:t xml:space="preserve">[VERIFIED]</w:t>
      </w:r>
      <w:r>
        <w:t xml:space="preserve"> </w:t>
      </w:r>
      <w:r>
        <w:t xml:space="preserve">(established from source/runtime/measurement, with the evidence or check date),</w:t>
      </w:r>
      <w:r>
        <w:t xml:space="preserve"> </w:t>
      </w:r>
      <w:r>
        <w:rPr>
          <w:rStyle w:val="VerbatimChar"/>
        </w:rPr>
        <w:t xml:space="preserve">[OPERATOR]</w:t>
      </w:r>
      <w:r>
        <w:t xml:space="preserve"> </w:t>
      </w:r>
      <w:r>
        <w:t xml:space="preserve">(an operator decision),</w:t>
      </w:r>
      <w:r>
        <w:t xml:space="preserve"> </w:t>
      </w:r>
      <w:r>
        <w:rPr>
          <w:rStyle w:val="VerbatimChar"/>
        </w:rPr>
        <w:t xml:space="preserve">[DEFAULT — adjustable]</w:t>
      </w:r>
      <w:r>
        <w:t xml:space="preserve"> </w:t>
      </w:r>
      <w:r>
        <w:t xml:space="preserve">(a proposed default pending review), and</w:t>
      </w:r>
      <w:r>
        <w:t xml:space="preserve"> </w:t>
      </w:r>
      <w:r>
        <w:rPr>
          <w:rStyle w:val="VerbatimChar"/>
        </w:rPr>
        <w:t xml:space="preserve">[OPEN: id]</w:t>
      </w:r>
      <w:r>
        <w:t xml:space="preserve"> </w:t>
      </w:r>
      <w:r>
        <w:t xml:space="preserve">(an unresolved item with a stable id); projects extend the set (</w:t>
      </w:r>
      <w:r>
        <w:rPr>
          <w:rStyle w:val="VerbatimChar"/>
        </w:rPr>
        <w:t xml:space="preserve">[RESEARCH]</w:t>
      </w:r>
      <w:r>
        <w:t xml:space="preserve">,</w:t>
      </w:r>
      <w:r>
        <w:t xml:space="preserve"> </w:t>
      </w:r>
      <w:r>
        <w:rPr>
          <w:rStyle w:val="VerbatimChar"/>
        </w:rPr>
        <w:t xml:space="preserve">[ASSUMED]</w:t>
      </w:r>
      <w:r>
        <w:t xml:space="preserve">,</w:t>
      </w:r>
      <w:r>
        <w:t xml:space="preserve"> </w:t>
      </w:r>
      <w:r>
        <w:rPr>
          <w:rStyle w:val="VerbatimChar"/>
        </w:rPr>
        <w:t xml:space="preserve">[BUILD-NEW]</w:t>
      </w:r>
      <w:r>
        <w:t xml:space="preserve">,</w:t>
      </w:r>
      <w:r>
        <w:t xml:space="preserve"> </w:t>
      </w:r>
      <w:r>
        <w:rPr>
          <w:rStyle w:val="VerbatimChar"/>
        </w:rPr>
        <w:t xml:space="preserve">[GAP: id]</w:t>
      </w:r>
      <w:r>
        <w:t xml:space="preserve">,</w:t>
      </w:r>
      <w:r>
        <w:t xml:space="preserve"> </w:t>
      </w:r>
      <w:r>
        <w:rPr>
          <w:rStyle w:val="VerbatimChar"/>
        </w:rPr>
        <w:t xml:space="preserve">[IN-HOUSE: …]</w:t>
      </w:r>
      <w:r>
        <w:t xml:space="preserve">,</w:t>
      </w:r>
      <w:r>
        <w:t xml:space="preserve"> </w:t>
      </w:r>
      <w:r>
        <w:rPr>
          <w:rStyle w:val="VerbatimChar"/>
        </w:rPr>
        <w:t xml:space="preserve">[CONSTITUTION §x]</w:t>
      </w:r>
      <w:r>
        <w:t xml:space="preserve">) per §11.4.35. A load-bearing claim with no marker reads as UNVERIFIED — and presenting an assumption as verified is a §11.4.6 violation of §11.4 PASS-bluff severity at the design-documentation layer. (2)</w:t>
      </w:r>
      <w:r>
        <w:t xml:space="preserve"> </w:t>
      </w:r>
      <w:r>
        <w:rPr>
          <w:b/>
          <w:bCs/>
        </w:rPr>
        <w:t xml:space="preserve">Every unresolved decision is an</w:t>
      </w:r>
      <w:r>
        <w:rPr>
          <w:b/>
          <w:bCs/>
        </w:rPr>
        <w:t xml:space="preserve"> </w:t>
      </w:r>
      <w:r>
        <w:rPr>
          <w:rStyle w:val="VerbatimChar"/>
          <w:b/>
          <w:bCs/>
        </w:rPr>
        <w:t xml:space="preserve">[OPEN: id]</w:t>
      </w:r>
      <w:r>
        <w:t xml:space="preserve"> </w:t>
      </w:r>
      <w:r>
        <w:t xml:space="preserve">— with a stable, never-renumbered id (§11.4.54 discipline), owned by a named file, and never papered over with an invented answer. (3)</w:t>
      </w:r>
      <w:r>
        <w:t xml:space="preserve"> </w:t>
      </w:r>
      <w:r>
        <w:rPr>
          <w:b/>
          <w:bCs/>
        </w:rPr>
        <w:t xml:space="preserve">Central registry in the area index</w:t>
      </w:r>
      <w:r>
        <w:t xml:space="preserve"> </w:t>
      </w:r>
      <w:r>
        <w:t xml:space="preserve">— the design area's index maintains the SINGLE canonical open-item registry: every</w:t>
      </w:r>
      <w:r>
        <w:t xml:space="preserve"> </w:t>
      </w:r>
      <w:r>
        <w:rPr>
          <w:rStyle w:val="VerbatimChar"/>
        </w:rPr>
        <w:t xml:space="preserve">[OPEN: id]</w:t>
      </w:r>
      <w:r>
        <w:t xml:space="preserve"> </w:t>
      </w:r>
      <w:r>
        <w:t xml:space="preserve">in the tree appears in it, every registry row names its owning file(s) and state, and the registry is TREE-VERIFIED in both directions on every consolidation pass (an id in the tree missing from the registry, or a registry ghost with no tree presence, is a violation — the §11.4.186 consistency discipline applied to design opens); closures cite the closing revision, and narrowed items record exactly what closed and what remains. (4)</w:t>
      </w:r>
      <w:r>
        <w:t xml:space="preserve"> </w:t>
      </w:r>
      <w:r>
        <w:rPr>
          <w:b/>
          <w:bCs/>
        </w:rPr>
        <w:t xml:space="preserve">Opens map to tracked work</w:t>
      </w:r>
      <w:r>
        <w:t xml:space="preserve"> </w:t>
      </w:r>
      <w:r>
        <w:t xml:space="preserve">— registry items map to the project's workable-item tracking (§11.4.15 / §11.4.54 / §11.4.93) so the §11.4.197 completion mandate applies: a design open is driven to closed-with-evidence or explicitly-closed-with-reason, never silently abandoned.</w:t>
      </w:r>
    </w:p>
    <w:p>
      <w:pPr>
        <w:pStyle w:val="BodyText"/>
      </w:pPr>
      <w:r>
        <w:rPr>
          <w:b/>
          <w:bCs/>
        </w:rPr>
        <w:t xml:space="preserve">Honest boundary (§11.4.6).</w:t>
      </w:r>
      <w:r>
        <w:t xml:space="preserve"> </w:t>
      </w:r>
      <w:r>
        <w:t xml:space="preserve">Markers prove the EPISTEMIC STATUS of each claim, not its truth — a</w:t>
      </w:r>
      <w:r>
        <w:t xml:space="preserve"> </w:t>
      </w:r>
      <w:r>
        <w:rPr>
          <w:rStyle w:val="VerbatimChar"/>
        </w:rPr>
        <w:t xml:space="preserve">[VERIFIED]</w:t>
      </w:r>
      <w:r>
        <w:t xml:space="preserve"> </w:t>
      </w:r>
      <w:r>
        <w:t xml:space="preserve">marker is only as good as its cited evidence (§11.4.123), and the registry proves open-item ACCOUNTING, not progress (§11.4.197 owns completion). This anchor binds the DESIGN area to the same honesty regime the tracker anchors give code — it cites §11.4.15/.54/.93/.186/.197 rather than duplicating them.</w:t>
      </w:r>
    </w:p>
    <w:p>
      <w:pPr>
        <w:pStyle w:val="BodyText"/>
      </w:pPr>
      <w:r>
        <w:t xml:space="preserve">Classification: universal (§11.4.17) — the consuming project supplies its marker-set extensions, id families, area-index path, and tracker binding per §11.4.35. Composes §11.4.6 / §11.4.15 / §11.4.44 / §11.4.54 / §11.4.61 / §11.4.93 / §11.4.123 / §11.4.186 / §11.4.197 / §11.4.212. Propagation gate</w:t>
      </w:r>
      <w:r>
        <w:t xml:space="preserve"> </w:t>
      </w:r>
      <w:r>
        <w:rPr>
          <w:rStyle w:val="VerbatimChar"/>
        </w:rPr>
        <w:t xml:space="preserve">CM-COVENANT-114-223-PROPAGATION</w:t>
      </w:r>
      <w:r>
        <w:t xml:space="preserve"> </w:t>
      </w:r>
      <w:r>
        <w:t xml:space="preserve">(literal</w:t>
      </w:r>
      <w:r>
        <w:t xml:space="preserve"> </w:t>
      </w:r>
      <w:r>
        <w:rPr>
          <w:rStyle w:val="VerbatimChar"/>
        </w:rPr>
        <w:t xml:space="preserve">11.4.223</w:t>
      </w:r>
      <w:r>
        <w:t xml:space="preserve">) + recommended gate</w:t>
      </w:r>
      <w:r>
        <w:t xml:space="preserve"> </w:t>
      </w:r>
      <w:r>
        <w:rPr>
          <w:rStyle w:val="VerbatimChar"/>
        </w:rPr>
        <w:t xml:space="preserve">CM-DESIGN-DOC-PROVENANCE-MARKERS</w:t>
      </w:r>
      <w:r>
        <w:t xml:space="preserve"> </w:t>
      </w:r>
      <w:r>
        <w:t xml:space="preserve">(every design doc declares/uses the marker vocabulary; the area index registry exists; a tree-grep of open-item ids equals the registry set in both directions; every registry row names owner + state) + paired §1.1 mutation (add an</w:t>
      </w:r>
      <w:r>
        <w:t xml:space="preserve"> </w:t>
      </w:r>
      <w:r>
        <w:rPr>
          <w:rStyle w:val="VerbatimChar"/>
        </w:rPr>
        <w:t xml:space="preserve">[OPEN: id]</w:t>
      </w:r>
      <w:r>
        <w:t xml:space="preserve"> </w:t>
      </w:r>
      <w:r>
        <w:t xml:space="preserve">to a doc without registering it → gate FAILs; delete a registered id from the tree while the registry still lists it open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§11.4.223.</w:t>
      </w:r>
    </w:p>
    <w:p>
      <w:pPr>
        <w:pStyle w:val="BodyText"/>
      </w:pPr>
      <w:r>
        <w:t xml:space="preserve">Non-compliance is a release blocker regardless of context. No escape hatch — no</w:t>
      </w:r>
      <w:r>
        <w:t xml:space="preserve"> </w:t>
      </w:r>
      <w:r>
        <w:rPr>
          <w:rStyle w:val="VerbatimChar"/>
        </w:rPr>
        <w:t xml:space="preserve">--unmarked-claims-OK</w:t>
      </w:r>
      <w:r>
        <w:t xml:space="preserve">,</w:t>
      </w:r>
      <w:r>
        <w:t xml:space="preserve"> </w:t>
      </w:r>
      <w:r>
        <w:rPr>
          <w:rStyle w:val="VerbatimChar"/>
        </w:rPr>
        <w:t xml:space="preserve">--assumption-as-verified</w:t>
      </w:r>
      <w:r>
        <w:t xml:space="preserve">,</w:t>
      </w:r>
      <w:r>
        <w:t xml:space="preserve"> </w:t>
      </w:r>
      <w:r>
        <w:rPr>
          <w:rStyle w:val="VerbatimChar"/>
        </w:rPr>
        <w:t xml:space="preserve">--unregistered-open-item</w:t>
      </w:r>
      <w:r>
        <w:t xml:space="preserve">,</w:t>
      </w:r>
      <w:r>
        <w:t xml:space="preserve"> </w:t>
      </w:r>
      <w:r>
        <w:rPr>
          <w:rStyle w:val="VerbatimChar"/>
        </w:rPr>
        <w:t xml:space="preserve">--registry-optional</w:t>
      </w:r>
      <w:r>
        <w:t xml:space="preserve">,</w:t>
      </w:r>
      <w:r>
        <w:t xml:space="preserve"> </w:t>
      </w:r>
      <w:r>
        <w:rPr>
          <w:rStyle w:val="VerbatimChar"/>
        </w:rPr>
        <w:t xml:space="preserve">--silently-abandon-open</w:t>
      </w:r>
      <w:r>
        <w:t xml:space="preserve"> </w:t>
      </w:r>
      <w:r>
        <w:t xml:space="preserve">flag exists.</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Constitution.md" TargetMode="External" /><Relationship Type="http://schemas.openxmlformats.org/officeDocument/2006/relationships/hyperlink" Id="rId9" Target="https://github.com/nexu-io/open-design" TargetMode="External" /></Relationships>
</file>

<file path=word/_rels/footnotes.xml.rels><?xml version="1.0" encoding="UTF-8"?><Relationships xmlns="http://schemas.openxmlformats.org/package/2006/relationships"><Relationship Type="http://schemas.openxmlformats.org/officeDocument/2006/relationships/hyperlink" Id="rId10" Target="Constitution.md" TargetMode="External" /><Relationship Type="http://schemas.openxmlformats.org/officeDocument/2006/relationships/hyperlink" Id="rId9" Target="https://github.com/nexu-io/open-des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2026-10-11T22:27:02Z</dcterms:created>
  <dcterms:modified xsi:type="dcterms:W3CDTF">2026-10-11T22:27:02Z</dcterms:modified>
</cp:coreProperties>
</file>

<file path=docProps/custom.xml><?xml version="1.0" encoding="utf-8"?>
<Properties xmlns="http://schemas.openxmlformats.org/officeDocument/2006/custom-properties" xmlns:vt="http://schemas.openxmlformats.org/officeDocument/2006/docPropsVTypes"/>
</file>