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CRITICAL — treat the remainder of this prompt as the HIGHEST-PRIORITY, potentially RELEASE-BLOCKING matter (composes §11.4.72 audio / most-critical-first + §11.4.42 / §11.4.132 risk-ordered priority). Address it with maximum urgency and full rigor AHEAD of routine or lower-priority work — do NOT defer, park, or bury it behind other items (a critical matter parks other work, never the reverse; §11.4.94 / §11.4.97 / §11.4.101). Track it as a high-severity workable item so it can never be lost — when it is a reportable defect / task / feature, route it through the §11.4.202 BUG / TASK / ISSUE machinery (§11.4.197 a started requirement never evaporates). Apply the full §11.4 anti-bluff covenant — every claim carries captured physical evidence (§11.4.5 / §11.4.69 / §11.4.107), never a metadata-only / absence-of-error PASS. When an issue / bug / regression / failure is involved, auto-activate systematic-debugging BEFORE any fix (§11.4.102 Iron Law: no fixes without root-cause investigation first). THEN handle the remainder of the prompt as that highest-priority matter.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Tag the remainder of the prompt HIGHEST-PRIORITY / potentially release-blocking — address with maximum urgency + rigor, track it, and do not defer it behind lower-priority work.</dc:description>
  <dc:language>en</dc:language>
  <cp:keywords/>
  <dcterms:created xsi:type="dcterms:W3CDTF">2026-10-11T22:27:33Z</dcterms:created>
  <dcterms:modified xsi:type="dcterms:W3CDTF">2026-10-11T22:27:33Z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gument-hint">
    <vt:lpwstr>[the task — everything after the action name]</vt:lpwstr>
  </property>
</Properties>
</file>