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REPORT DIRECTIVE — TASK (§11.4.202). The remainder of this prompt is a REPORT of an internal WORKSTREAM item (refactor / doc / infra / gate / audit / chore). It MUST be turned into a real, fully-populated workable item — never merely acknowledged, never silently dropped. Create it through the project's reporting engine (</w:t>
      </w:r>
      <w:r>
        <w:rPr>
          <w:rStyle w:val="VerbatimChar"/>
        </w:rPr>
        <w:t xml:space="preserve">constitution/scripts/reporting/report_item.sh --kind task --title &lt;t&gt; --report &lt;text&gt;</w:t>
      </w:r>
      <w:r>
        <w:t xml:space="preserve">), which (1) creates the item with Type=Task + Status=Queued + a stable auto-incremented ticket id in the workable-items SQLite single-source-of-truth (§11.4.93 / §11.4.95 / §11.4.54), carrying the §11.4.148 / §11.4.171 comprehensive structured description (WHAT / SCOPE / REPRODUCTION-or-CONTEXT / ACCEPTANCE); (2) regenerates EVERY derived document from the DB — Issues / Fixed / the summaries + their HTML / PDF / DOCX siblings — via the project's configured sync command (§11.4.12 / §11.4.53 / §11.4.65 / §11.4.106); (3) pushes the new item to EVERY configured external tracker (§11.4.148 D5). A tracker whose credentials or client are absent is SKIPPED with an honest reason (§11.4.10 / §11.4.6 / §11.4.3) — a push is NEVER faked. Report back the assigned ticket id, the sync verdict, and each tracker's verdict with its captured-evidence path (§11.4.5 / §11.4.69).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Report an internal WORKSTREAM item — create a fully-populated Type=Task workable item and drive the full DB → docs → external-tracker sync.</dc:description>
  <dc:language>en</dc:language>
  <cp:keywords/>
  <dcterms:created xsi:type="dcterms:W3CDTF">2026-10-11T22:27:43Z</dcterms:created>
  <dcterms:modified xsi:type="dcterms:W3CDTF">2026-10-11T22:27:43Z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gument-hint">
    <vt:lpwstr>[the task — everything after the action name]</vt:lpwstr>
  </property>
</Properties>
</file>