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oc-integrity"/>
    <w:p>
      <w:pPr>
        <w:pStyle w:val="Heading1"/>
      </w:pPr>
      <w:r>
        <w:t xml:space="preserve">doc-integrity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2026-07-08T08:30:00Z</w:t>
      </w:r>
    </w:p>
    <w:p>
      <w:pPr>
        <w:pStyle w:val="BodyText"/>
      </w:pPr>
      <w:r>
        <w:t xml:space="preserve">A project-agnostic (§11.4.28) Go tool that runs</w:t>
      </w:r>
      <w:r>
        <w:t xml:space="preserve"> </w:t>
      </w:r>
      <w:r>
        <w:rPr>
          <w:b/>
          <w:bCs/>
        </w:rPr>
        <w:t xml:space="preserve">five machine-checkable check</w:t>
      </w:r>
      <w:r>
        <w:rPr>
          <w:b/>
          <w:bCs/>
        </w:rPr>
        <w:t xml:space="preserve"> </w:t>
      </w:r>
      <w:r>
        <w:rPr>
          <w:b/>
          <w:bCs/>
        </w:rPr>
        <w:t xml:space="preserve">families</w:t>
      </w:r>
      <w:r>
        <w:t xml:space="preserve"> </w:t>
      </w:r>
      <w:r>
        <w:t xml:space="preserve">over a consumer-registered doc-set and REFUSES export/commit on any</w:t>
      </w:r>
      <w:r>
        <w:t xml:space="preserve"> </w:t>
      </w:r>
      <w:r>
        <w:t xml:space="preserve">integrity FAIL — the mandatory-before-export gate of constitution</w:t>
      </w:r>
      <w:r>
        <w:t xml:space="preserve"> </w:t>
      </w:r>
      <w:r>
        <w:rPr>
          <w:b/>
          <w:bCs/>
        </w:rPr>
        <w:t xml:space="preserve">§11.4.186</w:t>
      </w:r>
      <w:r>
        <w:t xml:space="preserve"> </w:t>
      </w:r>
      <w:r>
        <w:t xml:space="preserve">(design:</w:t>
      </w:r>
      <w:r>
        <w:t xml:space="preserve"> </w:t>
      </w:r>
      <w:r>
        <w:rPr>
          <w:rStyle w:val="VerbatimChar"/>
        </w:rPr>
        <w:t xml:space="preserve">docs/research/doc_integrity_validator/DESIGN.md</w:t>
      </w:r>
      <w:r>
        <w:t xml:space="preserve">).</w:t>
      </w:r>
    </w:p>
    <w:p>
      <w:pPr>
        <w:pStyle w:val="BodyText"/>
      </w:pPr>
      <w:r>
        <w:t xml:space="preserve">It catches the class of doc defects that human eyeballing missed: duplicate rows</w:t>
      </w:r>
      <w:r>
        <w:t xml:space="preserve"> </w:t>
      </w:r>
      <w:r>
        <w:t xml:space="preserve">for one feature with divergent timelines,</w:t>
      </w:r>
      <w:r>
        <w:t xml:space="preserve"> </w:t>
      </w:r>
      <w:r>
        <w:rPr>
          <w:rStyle w:val="VerbatimChar"/>
        </w:rPr>
        <w:t xml:space="preserve">MVP↔V9-plan</w:t>
      </w:r>
      <w:r>
        <w:t xml:space="preserve"> </w:t>
      </w:r>
      <w:r>
        <w:t xml:space="preserve">cross-doc divergences,</w:t>
      </w:r>
      <w:r>
        <w:t xml:space="preserve"> </w:t>
      </w:r>
      <w:r>
        <w:t xml:space="preserve">deadline-before-dependency, Status↔Type mismatches, and column/id-structure</w:t>
      </w:r>
      <w:r>
        <w:t xml:space="preserve"> </w:t>
      </w:r>
      <w:r>
        <w:t xml:space="preserve">drift.</w:t>
      </w:r>
    </w:p>
    <w:bookmarkStart w:id="9" w:name="check-families"/>
    <w:p>
      <w:pPr>
        <w:pStyle w:val="Heading2"/>
      </w:pPr>
      <w:r>
        <w:t xml:space="preserve">Check families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What it 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DEDUP-01/02</w:t>
            </w:r>
          </w:p>
        </w:tc>
        <w:tc>
          <w:tcPr/>
          <w:p>
            <w:pPr>
              <w:pStyle w:val="Compact"/>
            </w:pPr>
            <w:r>
              <w:t xml:space="preserve">No two rows describe the same functionality — keyed on</w:t>
            </w:r>
            <w:r>
              <w:t xml:space="preserve"> </w:t>
            </w:r>
            <w:r>
              <w:rPr>
                <w:rStyle w:val="VerbatimChar"/>
              </w:rPr>
              <w:t xml:space="preserve">ticket</w:t>
            </w:r>
            <w:r>
              <w:t xml:space="preserve"> </w:t>
            </w:r>
            <w:r>
              <w:t xml:space="preserve">OR normalised</w:t>
            </w:r>
            <w:r>
              <w:t xml:space="preserve"> </w:t>
            </w:r>
            <w:r>
              <w:rPr>
                <w:rStyle w:val="VerbatimChar"/>
              </w:rPr>
              <w:t xml:space="preserve">(subject, scope)</w:t>
            </w:r>
            <w:r>
              <w:t xml:space="preserve"> </w:t>
            </w:r>
            <w:r>
              <w:t xml:space="preserve">(NOT bare subject substring — that false-positives on distinct NanoKVM tasks, §11.4.6).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TIME-01/01b/02/03/04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 ≤ deadline</w:t>
            </w:r>
            <w:r>
              <w:t xml:space="preserve">; no deadline-before-dependency; no dependency cycle; section span;</w:t>
            </w:r>
            <w:r>
              <w:t xml:space="preserve"> </w:t>
            </w:r>
            <w:r>
              <w:rPr>
                <w:rStyle w:val="VerbatimChar"/>
              </w:rPr>
              <w:t xml:space="preserve">GATED</w:t>
            </w:r>
            <w:r>
              <w:t xml:space="preserve"> </w:t>
            </w:r>
            <w:r>
              <w:t xml:space="preserve">exempt-but-marked.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XDOC-01</w:t>
            </w:r>
          </w:p>
        </w:tc>
        <w:tc>
          <w:tcPr/>
          <w:p>
            <w:pPr>
              <w:pStyle w:val="Compact"/>
            </w:pPr>
            <w:r>
              <w:t xml:space="preserve">The same item across plan/MVP/summary/DB (joined by ticket, fuzzy-subject fallback) carries identical timeline/status/type; authoritative source named.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INTEG-01/02/03</w:t>
            </w:r>
          </w:p>
        </w:tc>
        <w:tc>
          <w:tcPr/>
          <w:p>
            <w:pPr>
              <w:pStyle w:val="Compact"/>
            </w:pPr>
            <w:r>
              <w:t xml:space="preserve">No orphan refs; Status↔Type agreement (§11.4.33 Bug→Fixed / Feature→Implemented / Task→Completed); location↔status agreement.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STRUCT-01/02</w:t>
            </w:r>
          </w:p>
        </w:tc>
        <w:tc>
          <w:tcPr/>
          <w:p>
            <w:pPr>
              <w:pStyle w:val="Compact"/>
            </w:pPr>
            <w:r>
              <w:t xml:space="preserve">Required columns present; item IDs unique + match</w:t>
            </w:r>
            <w:r>
              <w:t xml:space="preserve"> </w:t>
            </w:r>
            <w:r>
              <w:rPr>
                <w:rStyle w:val="VerbatimChar"/>
              </w:rPr>
              <w:t xml:space="preserve">id_pattern</w:t>
            </w:r>
            <w:r>
              <w:t xml:space="preserve"> </w:t>
            </w:r>
            <w:r>
              <w:t xml:space="preserve">(+ opt-in monotonic).</w:t>
            </w:r>
          </w:p>
        </w:tc>
      </w:tr>
    </w:tbl>
    <w:bookmarkEnd w:id="9"/>
    <w:bookmarkStart w:id="10" w:name="adapters-source-kinds"/>
    <w:p>
      <w:pPr>
        <w:pStyle w:val="Heading2"/>
      </w:pPr>
      <w:r>
        <w:t xml:space="preserve">Adapters (source kinds)</w:t>
      </w:r>
    </w:p>
    <w:p>
      <w:pPr>
        <w:pStyle w:val="FirstParagraph"/>
      </w:pPr>
      <w:r>
        <w:rPr>
          <w:rStyle w:val="VerbatimChar"/>
        </w:rPr>
        <w:t xml:space="preserve">xlsx</w:t>
      </w:r>
      <w:r>
        <w:t xml:space="preserve"> </w:t>
      </w:r>
      <w:r>
        <w:t xml:space="preserve">(excelize) ·</w:t>
      </w:r>
      <w:r>
        <w:t xml:space="preserve"> </w:t>
      </w:r>
      <w:r>
        <w:rPr>
          <w:rStyle w:val="VerbatimChar"/>
        </w:rPr>
        <w:t xml:space="preserve">markdown-table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markdown-headings</w:t>
      </w:r>
      <w:r>
        <w:t xml:space="preserve"> </w:t>
      </w:r>
      <w:r>
        <w:t xml:space="preserve">(Issues/Fixed H2) ·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(READ-ONLY — the</w:t>
      </w:r>
      <w:r>
        <w:t xml:space="preserve"> </w:t>
      </w:r>
      <w:r>
        <w:rPr>
          <w:rStyle w:val="VerbatimChar"/>
        </w:rPr>
        <w:t xml:space="preserve">workable_items.db</w:t>
      </w:r>
      <w:r>
        <w:t xml:space="preserve">). New source kind = new adapter,</w:t>
      </w:r>
      <w:r>
        <w:t xml:space="preserve"> </w:t>
      </w:r>
      <w:r>
        <w:t xml:space="preserve">never a project fork.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doc-integrity ./cmd/doc_integrity</w:t>
      </w:r>
      <w:r>
        <w:br/>
      </w:r>
      <w:r>
        <w:br/>
      </w:r>
      <w:r>
        <w:rPr>
          <w:rStyle w:val="CommentTok"/>
        </w:rPr>
        <w:t xml:space="preserve"># Validate a consumer doc-set (checkset first, flags after):</w:t>
      </w:r>
      <w:r>
        <w:br/>
      </w:r>
      <w:r>
        <w:rPr>
          <w:rStyle w:val="ExtensionTok"/>
        </w:rPr>
        <w:t xml:space="preserve">doc-integrity</w:t>
      </w:r>
      <w:r>
        <w:rPr>
          <w:rStyle w:val="NormalTok"/>
        </w:rPr>
        <w:t xml:space="preserve"> verify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checkset.yaml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--repo-root . [--json out.json] [--evidence-dir dir]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quiet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doc-integrity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checkset.yaml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--repo-root .</w:t>
      </w:r>
      <w:r>
        <w:br/>
      </w:r>
      <w:r>
        <w:rPr>
          <w:rStyle w:val="ExtensionTok"/>
        </w:rPr>
        <w:t xml:space="preserve">doc-integrity</w:t>
      </w:r>
      <w:r>
        <w:rPr>
          <w:rStyle w:val="NormalTok"/>
        </w:rPr>
        <w:t xml:space="preserve"> selfcheck          </w:t>
      </w:r>
      <w:r>
        <w:rPr>
          <w:rStyle w:val="CommentTok"/>
        </w:rPr>
        <w:t xml:space="preserve"># runs the embedded golden fixtures (§11.4.107(10))</w:t>
      </w:r>
      <w:r>
        <w:br/>
      </w:r>
      <w:r>
        <w:rPr>
          <w:rStyle w:val="ExtensionTok"/>
        </w:rPr>
        <w:t xml:space="preserve">doc-integrity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PASS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FAIL (findings; export MUST be refused)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config</w:t>
      </w:r>
      <w:r>
        <w:t xml:space="preserve"> </w:t>
      </w:r>
      <w:r>
        <w:t xml:space="preserve">error ·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SKIP (a source is unavailable — honest §11.4.3, never a fake PASS).</w:t>
      </w:r>
    </w:p>
    <w:p>
      <w:pPr>
        <w:pStyle w:val="BodyText"/>
      </w:pPr>
      <w:r>
        <w:t xml:space="preserve">Every finding names the offending row/item (</w:t>
      </w:r>
      <w:r>
        <w:rPr>
          <w:rStyle w:val="VerbatimChar"/>
        </w:rPr>
        <w:t xml:space="preserve">sheet!A47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items.&lt;id&gt;</w:t>
      </w:r>
      <w:r>
        <w:t xml:space="preserve">) so it is actionable (§11.4.6).</w:t>
      </w:r>
    </w:p>
    <w:bookmarkEnd w:id="11"/>
    <w:bookmarkStart w:id="12" w:name="X86dfddc84e513311116fb64af1773fdc2ff1451"/>
    <w:p>
      <w:pPr>
        <w:pStyle w:val="Heading2"/>
      </w:pPr>
      <w:r>
        <w:t xml:space="preserve">Consumer configuration (project data lives in YAML, never in Go)</w:t>
      </w:r>
    </w:p>
    <w:p>
      <w:pPr>
        <w:pStyle w:val="FirstParagraph"/>
      </w:pPr>
      <w:r>
        <w:t xml:space="preserve">The consumer registers its doc-set + rules in</w:t>
      </w:r>
      <w:r>
        <w:t xml:space="preserve"> </w:t>
      </w:r>
      <w:r>
        <w:rPr>
          <w:rStyle w:val="VerbatimChar"/>
        </w:rPr>
        <w:t xml:space="preserve">.&lt;consumer&gt;/doc_integrity/checkset.yaml</w:t>
      </w:r>
      <w:r>
        <w:t xml:space="preserve"> </w:t>
      </w:r>
      <w:r>
        <w:t xml:space="preserve">(mirrors the</w:t>
      </w:r>
      <w:r>
        <w:t xml:space="preserve"> </w:t>
      </w:r>
      <w:r>
        <w:rPr>
          <w:rStyle w:val="VerbatimChar"/>
        </w:rPr>
        <w:t xml:space="preserve">.docs_chain/contexts/*</w:t>
      </w:r>
      <w:r>
        <w:t xml:space="preserve"> </w:t>
      </w:r>
      <w:r>
        <w:t xml:space="preserve">precedent). Full schema + example:</w:t>
      </w:r>
      <w:r>
        <w:t xml:space="preserve"> </w:t>
      </w:r>
      <w:r>
        <w:rPr>
          <w:rStyle w:val="VerbatimChar"/>
        </w:rPr>
        <w:t xml:space="preserve">DESIGN.md §1.4</w:t>
      </w:r>
      <w:r>
        <w:t xml:space="preserve">.</w:t>
      </w:r>
    </w:p>
    <w:bookmarkEnd w:id="12"/>
    <w:bookmarkStart w:id="13" w:name="anti-bluff-self-validation-11410710"/>
    <w:p>
      <w:pPr>
        <w:pStyle w:val="Heading2"/>
      </w:pPr>
      <w:r>
        <w:t xml:space="preserve">Anti-bluff self-validation (§11.4.107(10))</w:t>
      </w:r>
    </w:p>
    <w:p>
      <w:pPr>
        <w:pStyle w:val="FirstParagraph"/>
      </w:pPr>
      <w:r>
        <w:rPr>
          <w:rStyle w:val="VerbatimChar"/>
        </w:rPr>
        <w:t xml:space="preserve">selfcheck</w:t>
      </w:r>
      <w:r>
        <w:t xml:space="preserve"> </w:t>
      </w:r>
      <w:r>
        <w:t xml:space="preserve">runs embedded golden fixtures under</w:t>
      </w:r>
      <w:r>
        <w:t xml:space="preserve"> </w:t>
      </w:r>
      <w:r>
        <w:rPr>
          <w:rStyle w:val="VerbatimChar"/>
        </w:rPr>
        <w:t xml:space="preserve">internal/selfcheck/golden/</w:t>
      </w:r>
      <w:r>
        <w:t xml:space="preserve">: golden-good PASS, one golden-bad per check family</w:t>
      </w:r>
      <w:r>
        <w:t xml:space="preserve"> </w:t>
      </w:r>
      <w:r>
        <w:t xml:space="preserve">FAIL (pinpointing the injected offender), and a</w:t>
      </w:r>
      <w:r>
        <w:t xml:space="preserve"> </w:t>
      </w:r>
      <w:r>
        <w:rPr>
          <w:b/>
          <w:bCs/>
        </w:rPr>
        <w:t xml:space="preserve">negative-control</w:t>
      </w:r>
      <w:r>
        <w:t xml:space="preserve"> </w:t>
      </w:r>
      <w:r>
        <w:t xml:space="preserve">(distinct</w:t>
      </w:r>
      <w:r>
        <w:t xml:space="preserve"> </w:t>
      </w:r>
      <w:r>
        <w:t xml:space="preserve">same-subject NanoKVM tasks that MUST PASS — the false-positive guard). A</w:t>
      </w:r>
      <w:r>
        <w:t xml:space="preserve"> </w:t>
      </w:r>
      <w:r>
        <w:t xml:space="preserve">validator that PASSes a golden-bad fixture, or FAILs golden-good / the</w:t>
      </w:r>
      <w:r>
        <w:t xml:space="preserve"> </w:t>
      </w:r>
      <w:r>
        <w:t xml:space="preserve">negative-control, is itself a bluff and a release blocker.</w:t>
      </w:r>
    </w:p>
    <w:bookmarkEnd w:id="13"/>
    <w:bookmarkStart w:id="14" w:name="pre-export--pre-commit-wiring"/>
    <w:p>
      <w:pPr>
        <w:pStyle w:val="Heading2"/>
      </w:pPr>
      <w:r>
        <w:t xml:space="preserve">Pre-export / pre-commit wiring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wire/doc_integrity_gate.sh &lt;checkset.yaml&gt; [repo_root]</w:t>
      </w:r>
      <w:r>
        <w:t xml:space="preserve"> </w:t>
      </w:r>
      <w:r>
        <w:t xml:space="preserve">— the HARD gate hook.</w:t>
      </w:r>
      <w:r>
        <w:t xml:space="preserve"> </w:t>
      </w:r>
      <w:r>
        <w:t xml:space="preserve">Call it BEFORE any render in</w:t>
      </w:r>
      <w:r>
        <w:t xml:space="preserve"> </w:t>
      </w:r>
      <w:r>
        <w:rPr>
          <w:rStyle w:val="VerbatimChar"/>
        </w:rPr>
        <w:t xml:space="preserve">sync_all_markdown_exports.sh</w:t>
      </w:r>
      <w:r>
        <w:t xml:space="preserve"> </w:t>
      </w:r>
      <w:r>
        <w:t xml:space="preserve">/ Docs Chain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; export/commit is refused on exit 1.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wire/CM-DOC-INTEGRITY-VALIDATION.gate.sh</w:t>
      </w:r>
      <w:r>
        <w:t xml:space="preserve"> </w:t>
      </w:r>
      <w:r>
        <w:t xml:space="preserve">— recommended pre-build gate stub</w:t>
      </w:r>
      <w:r>
        <w:t xml:space="preserve"> </w:t>
      </w:r>
      <w:r>
        <w:t xml:space="preserve">(DESIGN §5.2 invariants).</w:t>
      </w:r>
    </w:p>
    <w:bookmarkEnd w:id="14"/>
    <w:bookmarkStart w:id="15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./...   </w:t>
      </w:r>
      <w:r>
        <w:rPr>
          <w:rStyle w:val="CommentTok"/>
        </w:rPr>
        <w:t xml:space="preserve"># unit (per family) + adapters (xlsx/sqlite/md) + runner + selfcheck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2026-10-11T22:28:00Z</dcterms:created>
  <dcterms:modified xsi:type="dcterms:W3CDTF">2026-10-11T22:28:00Z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