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4b630672e3977c2243b59ac41ab0810558792a"/>
    <w:p>
      <w:pPr>
        <w:pStyle w:val="Heading1"/>
      </w:pPr>
      <w:r>
        <w:t xml:space="preserve">fixtures/evidence_ref/ — T108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constitution/scripts/fastcycle/context/evidence_ref.py</w:t>
      </w:r>
      <w:r>
        <w:t xml:space="preserve"> </w:t>
      </w:r>
      <w:r>
        <w:t xml:space="preserve">(contract</w:t>
      </w:r>
      <w:r>
        <w:t xml:space="preserve"> </w:t>
      </w:r>
      <w:r>
        <w:rPr>
          <w:rStyle w:val="VerbatimChar"/>
        </w:rPr>
        <w:t xml:space="preserve">specs/004-fast-dev-cycles/contracts/evidence-reference-reverify.md</w:t>
      </w:r>
      <w:r>
        <w:t xml:space="preserve">,</w:t>
      </w:r>
      <w:r>
        <w:t xml:space="preserve"> </w:t>
      </w:r>
      <w:r>
        <w:t xml:space="preserve">clauses ER-000..ER-005; data-model.md §8 "Evidence Reference"; plan.md T-E05;</w:t>
      </w:r>
      <w:r>
        <w:t xml:space="preserve"> </w:t>
      </w:r>
      <w:r>
        <w:t xml:space="preserve">research.md DEC-29). Task T108 (</w:t>
      </w:r>
      <w:r>
        <w:rPr>
          <w:rStyle w:val="VerbatimChar"/>
        </w:rPr>
        <w:t xml:space="preserve">tasks.md</w:t>
      </w:r>
      <w:r>
        <w:t xml:space="preserve">) writes ONLY this RED test + these</w:t>
      </w:r>
      <w:r>
        <w:t xml:space="preserve"> </w:t>
      </w:r>
      <w:r>
        <w:t xml:space="preserve">fixtures; the tool itself is T117, a later, separate task (Producer != Verifier,</w:t>
      </w:r>
      <w:r>
        <w:t xml:space="preserve"> </w:t>
      </w:r>
      <w:r>
        <w:t xml:space="preserve">§11.4.240 — this file's author never implements</w:t>
      </w:r>
      <w:r>
        <w:t xml:space="preserve"> </w:t>
      </w:r>
      <w:r>
        <w:rPr>
          <w:rStyle w:val="VerbatimChar"/>
        </w:rPr>
        <w:t xml:space="preserve">evidence_ref.py</w:t>
      </w:r>
      <w:r>
        <w:t xml:space="preserve">).</w:t>
      </w:r>
    </w:p>
    <w:bookmarkStart w:id="9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Six self-contained scenario directories, one per contract RED-fixtures-table row.</w:t>
      </w:r>
      <w:r>
        <w:t xml:space="preserve"> </w:t>
      </w:r>
      <w:r>
        <w:t xml:space="preserve">Each holds the CURRENT ("consume-time"/live) bytes of every file the scenario's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 </w:t>
      </w:r>
      <w:r>
        <w:t xml:space="preserve">cites, plus (only where the scenario's whole point is that a file</w:t>
      </w:r>
      <w:r>
        <w:t xml:space="preserve"> </w:t>
      </w:r>
      <w:r>
        <w:t xml:space="preserve">changed after the reference was created) an</w:t>
      </w:r>
      <w:r>
        <w:t xml:space="preserve"> </w:t>
      </w:r>
      <w:r>
        <w:rPr>
          <w:rStyle w:val="VerbatimChar"/>
        </w:rPr>
        <w:t xml:space="preserve">*_as_recorded.*</w:t>
      </w:r>
      <w:r>
        <w:t xml:space="preserve"> </w:t>
      </w:r>
      <w:r>
        <w:t xml:space="preserve">sibling holding</w:t>
      </w:r>
      <w:r>
        <w:t xml:space="preserve"> </w:t>
      </w:r>
      <w:r>
        <w:t xml:space="preserve">the ORIGINAL ("create-time") bytes that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's stored content addresses</w:t>
      </w:r>
      <w:r>
        <w:t xml:space="preserve"> </w:t>
      </w:r>
      <w:r>
        <w:t xml:space="preserve">were computed from.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's declared</w:t>
      </w:r>
      <w:r>
        <w:t xml:space="preserve"> </w:t>
      </w:r>
      <w:r>
        <w:rPr>
          <w:rStyle w:val="VerbatimChar"/>
        </w:rPr>
        <w:t xml:space="preserve">inputs.paths</w:t>
      </w:r>
      <w:r>
        <w:t xml:space="preserve"> </w:t>
      </w:r>
      <w:r>
        <w:t xml:space="preserve">never change between</w:t>
      </w:r>
      <w:r>
        <w:t xml:space="preserve"> </w:t>
      </w:r>
      <w:r>
        <w:t xml:space="preserve">create and consume — only the BYTES at those paths change, which is exactly</w:t>
      </w:r>
      <w:r>
        <w:t xml:space="preserve"> </w:t>
      </w:r>
      <w:r>
        <w:t xml:space="preserve">what ER-002 ("recomputes every component from current bytes") exists to catch.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changed between create and consume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er_unchanged/</w:t>
            </w:r>
          </w:p>
        </w:tc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nothing —</w:t>
            </w:r>
            <w:r>
              <w:t xml:space="preserve"> </w:t>
            </w:r>
            <w:r>
              <w:rPr>
                <w:rStyle w:val="VerbatimChar"/>
              </w:rPr>
              <w:t xml:space="preserve">input_a.txt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evidence.txt</w:t>
            </w:r>
            <w:r>
              <w:t xml:space="preserve"> </w:t>
            </w:r>
            <w:r>
              <w:t xml:space="preserve">are byte-identical to what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er_changed_input/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input_a.txt</w:t>
            </w:r>
            <w:r>
              <w:t xml:space="preserve">'s CURRENT bytes differ from</w:t>
            </w:r>
            <w:r>
              <w:t xml:space="preserve"> </w:t>
            </w:r>
            <w:r>
              <w:rPr>
                <w:rStyle w:val="VerbatimChar"/>
              </w:rPr>
              <w:t xml:space="preserve">input_a_as_recorded.txt</w:t>
            </w:r>
            <w:r>
              <w:t xml:space="preserve"> </w:t>
            </w:r>
            <w:r>
              <w:t xml:space="preserve">(what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inputs.root</w:t>
            </w:r>
            <w:r>
              <w:t xml:space="preserve"> </w:t>
            </w:r>
            <w:r>
              <w:t xml:space="preserve">was computed from)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er_changed_verifier/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verifier.sh</w:t>
            </w:r>
            <w:r>
              <w:t xml:space="preserve">'s CURRENT bytes differ from</w:t>
            </w:r>
            <w:r>
              <w:t xml:space="preserve"> </w:t>
            </w:r>
            <w:r>
              <w:rPr>
                <w:rStyle w:val="VerbatimChar"/>
              </w:rPr>
              <w:t xml:space="preserve">verifier_as_recorded.sh</w:t>
            </w:r>
            <w:r>
              <w:t xml:space="preserve"> </w:t>
            </w:r>
            <w:r>
              <w:t xml:space="preserve">(what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verifier_version</w:t>
            </w:r>
            <w:r>
              <w:t xml:space="preserve"> </w:t>
            </w:r>
            <w:r>
              <w:t xml:space="preserve">was computed from); the declared input is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er_changed_target/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nothing on disk —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rPr>
                <w:rStyle w:val="VerbatimChar"/>
              </w:rPr>
              <w:t xml:space="preserve">target_fingerprint: "DEVICE-SERIAL-AAA"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scenario.json</w:t>
            </w:r>
            <w:r>
              <w:t xml:space="preserve"> </w:t>
            </w:r>
            <w:r>
              <w:t xml:space="preserve">names the DIFFERENT live serial (</w:t>
            </w:r>
            <w:r>
              <w:rPr>
                <w:rStyle w:val="VerbatimChar"/>
              </w:rPr>
              <w:t xml:space="preserve">DEVICE-SERIAL-BBB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consume</w:t>
            </w:r>
            <w:r>
              <w:t xml:space="preserve"> </w:t>
            </w:r>
            <w:r>
              <w:t xml:space="preserve">is invoked with — T108's own named scenario, "a reference whose on-target fingerprint differs is refused"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er_evidence_tampered/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evidence.txt</w:t>
            </w:r>
            <w:r>
              <w:t xml:space="preserve">'s CURRENT bytes differ from</w:t>
            </w:r>
            <w:r>
              <w:t xml:space="preserve"> </w:t>
            </w:r>
            <w:r>
              <w:rPr>
                <w:rStyle w:val="VerbatimChar"/>
              </w:rPr>
              <w:t xml:space="preserve">evidence_as_recorded.txt</w:t>
            </w:r>
            <w:r>
              <w:t xml:space="preserve"> </w:t>
            </w:r>
            <w:r>
              <w:t xml:space="preserve">(what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evidence.content_address</w:t>
            </w:r>
            <w:r>
              <w:t xml:space="preserve"> </w:t>
            </w:r>
            <w:r>
              <w:t xml:space="preserve">was computed from); inputs + verifier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er_negctrl_unrelated_file/</w:t>
            </w:r>
          </w:p>
        </w:tc>
        <w:tc>
          <w:tcPr/>
          <w:p>
            <w:pPr>
              <w:pStyle w:val="Compact"/>
            </w:pPr>
            <w: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unrelated.txt</w:t>
            </w:r>
            <w:r>
              <w:t xml:space="preserve">'s CURRENT bytes differ from</w:t>
            </w:r>
            <w:r>
              <w:t xml:space="preserve"> </w:t>
            </w:r>
            <w:r>
              <w:rPr>
                <w:rStyle w:val="VerbatimChar"/>
              </w:rPr>
              <w:t xml:space="preserve">unrelated_as_recorded.txt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rPr>
                <w:rStyle w:val="VerbatimChar"/>
              </w:rPr>
              <w:t xml:space="preserve">unrelated.txt</w:t>
            </w:r>
            <w:r>
              <w:t xml:space="preserve"> </w:t>
            </w:r>
            <w:r>
              <w:t xml:space="preserve">is NEVER named in</w:t>
            </w:r>
            <w:r>
              <w:t xml:space="preserve"> </w:t>
            </w:r>
            <w:r>
              <w:rPr>
                <w:rStyle w:val="VerbatimChar"/>
              </w:rPr>
              <w:t xml:space="preserve">ref.json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inputs.paths</w:t>
            </w:r>
            <w:r>
              <w:t xml:space="preserve">, so ER-002 must never notice it</w:t>
            </w:r>
          </w:p>
        </w:tc>
      </w:tr>
    </w:tbl>
    <w:p>
      <w:pPr>
        <w:pStyle w:val="BodyText"/>
      </w:pPr>
      <w:r>
        <w:t xml:space="preserve">Every sha256 embedded in every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 </w:t>
      </w:r>
      <w:r>
        <w:t xml:space="preserve">is the REAL digest of the file it</w:t>
      </w:r>
      <w:r>
        <w:t xml:space="preserve"> </w:t>
      </w:r>
      <w:r>
        <w:t xml:space="preserve">names, computed at fixture-authoring time by</w:t>
      </w:r>
      <w:r>
        <w:t xml:space="preserve"> </w:t>
      </w:r>
      <w:r>
        <w:rPr>
          <w:rStyle w:val="VerbatimChar"/>
        </w:rPr>
        <w:t xml:space="preserve">hashlib.sha256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independently RE-VERIFIED, live, by the already-landed</w:t>
      </w:r>
      <w:r>
        <w:t xml:space="preserve"> </w:t>
      </w:r>
      <w:r>
        <w:rPr>
          <w:rStyle w:val="VerbatimChar"/>
        </w:rPr>
        <w:t xml:space="preserve">constitution/scripts/fastcycle/lib/fc_common.py body-hash --verify</w:t>
      </w:r>
      <w:r>
        <w:t xml:space="preserve"> </w:t>
      </w:r>
      <w:r>
        <w:t xml:space="preserve">(a</w:t>
      </w:r>
      <w:r>
        <w:t xml:space="preserve"> </w:t>
      </w:r>
      <w:r>
        <w:t xml:space="preserve">control needle: the established tool, not this fixture author's own</w:t>
      </w:r>
      <w:r>
        <w:t xml:space="preserve"> </w:t>
      </w:r>
      <w:r>
        <w:t xml:space="preserve">reimplementation, confirms every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's stored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matches its</w:t>
      </w:r>
      <w:r>
        <w:t xml:space="preserve"> </w:t>
      </w:r>
      <w:r>
        <w:t xml:space="preserve">canonical body —</w:t>
      </w:r>
      <w:r>
        <w:t xml:space="preserve"> </w:t>
      </w:r>
      <w:r>
        <w:rPr>
          <w:rStyle w:val="VerbatimChar"/>
        </w:rPr>
        <w:t xml:space="preserve">bash test_evidence_ref_red.sh</w:t>
      </w:r>
      <w:r>
        <w:t xml:space="preserve"> </w:t>
      </w:r>
      <w:r>
        <w:t xml:space="preserve">reruns this check on every</w:t>
      </w:r>
      <w:r>
        <w:t xml:space="preserve"> </w:t>
      </w:r>
      <w:r>
        <w:t xml:space="preserve">invocation, so a future hand-edit that desyncs a</w:t>
      </w:r>
      <w:r>
        <w:t xml:space="preserve"> </w:t>
      </w:r>
      <w:r>
        <w:rPr>
          <w:rStyle w:val="VerbatimChar"/>
        </w:rPr>
        <w:t xml:space="preserve">ref.json</w:t>
      </w:r>
      <w:r>
        <w:t xml:space="preserve"> </w:t>
      </w:r>
      <w:r>
        <w:t xml:space="preserve">from its own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is caught rather than silently poisoning the fixture).</w:t>
      </w:r>
    </w:p>
    <w:bookmarkEnd w:id="9"/>
    <w:bookmarkStart w:id="10" w:name="X9a165462ce947239ddd5a2bd3e82fa9c3292874"/>
    <w:p>
      <w:pPr>
        <w:pStyle w:val="Heading2"/>
      </w:pPr>
      <w:r>
        <w:rPr>
          <w:rStyle w:val="VerbatimChar"/>
        </w:rPr>
        <w:t xml:space="preserve">ref.json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consume.json</w:t>
      </w:r>
      <w:r>
        <w:t xml:space="preserve"> </w:t>
      </w:r>
      <w:r>
        <w:t xml:space="preserve">wire format (UNCONFIRMED, binding-if-adopted on T117)</w:t>
      </w:r>
    </w:p>
    <w:p>
      <w:pPr>
        <w:pStyle w:val="FirstParagraph"/>
      </w:pPr>
      <w:r>
        <w:t xml:space="preserve">The contract's Invocation section names the CLI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--fact ... --verifier &lt;id&gt; --inputs &lt;paths...&gt; [--target &lt;serial&gt;] --verdict PASS|FAIL --evidence &lt;path&gt; --out &lt;ref.json&gt;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consume --ref &lt;ref.json&gt; [--target &lt;serial&gt;] --out &lt;consume.json&gt;</w:t>
      </w:r>
      <w:r>
        <w:t xml:space="preserve">) and data-model.md §8</w:t>
      </w:r>
      <w:r>
        <w:t xml:space="preserve"> </w:t>
      </w:r>
      <w:r>
        <w:t xml:space="preserve">names the Evidence Reference entity's FIELDS, but neither pins the exact JSON</w:t>
      </w:r>
      <w:r>
        <w:t xml:space="preserve"> </w:t>
      </w:r>
      <w:r>
        <w:t xml:space="preserve">shape those fields are serialized into, nor how</w:t>
      </w:r>
      <w:r>
        <w:t xml:space="preserve"> </w:t>
      </w:r>
      <w:r>
        <w:rPr>
          <w:rStyle w:val="VerbatimChar"/>
        </w:rPr>
        <w:t xml:space="preserve">--verifier &lt;id&gt;</w:t>
      </w:r>
      <w:r>
        <w:t xml:space="preserve"> </w:t>
      </w:r>
      <w:r>
        <w:t xml:space="preserve">resolves to</w:t>
      </w:r>
      <w:r>
        <w:t xml:space="preserve"> </w:t>
      </w:r>
      <w:r>
        <w:t xml:space="preserve">the bytes ER-001's</w:t>
      </w:r>
      <w:r>
        <w:t xml:space="preserve"> </w:t>
      </w:r>
      <w:r>
        <w:rPr>
          <w:rStyle w:val="VerbatimChar"/>
        </w:rPr>
        <w:t xml:space="preserve">verifier_version</w:t>
      </w:r>
      <w:r>
        <w:t xml:space="preserve"> </w:t>
      </w:r>
      <w:r>
        <w:t xml:space="preserve">hashes. This fixture set — like the</w:t>
      </w:r>
      <w:r>
        <w:t xml:space="preserve"> </w:t>
      </w:r>
      <w:r>
        <w:t xml:space="preserve">established precedent in</w:t>
      </w:r>
      <w:r>
        <w:t xml:space="preserve"> </w:t>
      </w:r>
      <w:r>
        <w:rPr>
          <w:rStyle w:val="VerbatimChar"/>
        </w:rPr>
        <w:t xml:space="preserve">fixtures/verdict_cache/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test_governance_subset_red.sh</w:t>
      </w:r>
      <w:r>
        <w:t xml:space="preserve">'s own "UNCONFIRMED... DEFINED here" section —</w:t>
      </w:r>
      <w:r>
        <w:t xml:space="preserve"> </w:t>
      </w:r>
      <w:r>
        <w:t xml:space="preserve">DEFINES one concrete, defensible shape and flags it explicitly as</w:t>
      </w:r>
      <w:r>
        <w:t xml:space="preserve"> </w:t>
      </w:r>
      <w:r>
        <w:t xml:space="preserve">binding-if-adopted, not as a claim the contract already specifies 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--verifier &lt;id&gt;</w:t>
      </w:r>
      <w:r>
        <w:rPr>
          <w:b/>
          <w:bCs/>
        </w:rPr>
        <w:t xml:space="preserve"> </w:t>
      </w:r>
      <w:r>
        <w:rPr>
          <w:b/>
          <w:bCs/>
        </w:rPr>
        <w:t xml:space="preserve">IS the verifier script's own repo-relative path</w:t>
      </w:r>
      <w:r>
        <w:t xml:space="preserve"> </w:t>
      </w:r>
      <w:r>
        <w:t xml:space="preserve">(the</w:t>
      </w:r>
      <w:r>
        <w:t xml:space="preserve"> </w:t>
      </w:r>
      <w:r>
        <w:t xml:space="preserve">simplest literal reading available — the contract offers no separate</w:t>
      </w:r>
      <w:r>
        <w:t xml:space="preserve"> </w:t>
      </w:r>
      <w:r>
        <w:rPr>
          <w:rStyle w:val="VerbatimChar"/>
        </w:rPr>
        <w:t xml:space="preserve">--verifier-script</w:t>
      </w:r>
      <w:r>
        <w:t xml:space="preserve"> </w:t>
      </w:r>
      <w:r>
        <w:t xml:space="preserve">flag to distinguish an opaque id from a locator).</w:t>
      </w:r>
      <w:r>
        <w:t xml:space="preserve"> </w:t>
      </w:r>
      <w:r>
        <w:rPr>
          <w:rStyle w:val="VerbatimChar"/>
        </w:rPr>
        <w:t xml:space="preserve">verifier_version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content_address(that path's bytes at create time)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ref.json</w:t>
      </w:r>
      <w:r>
        <w:rPr>
          <w:b/>
          <w:bCs/>
        </w:rPr>
        <w:t xml:space="preserve"> </w:t>
      </w:r>
      <w:r>
        <w:rPr>
          <w:b/>
          <w:bCs/>
        </w:rPr>
        <w:t xml:space="preserve">carries BOTH the Merkle root AND the declared path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inputs: {paths: [...], root: "sha256:..."}</w:t>
      </w:r>
      <w:r>
        <w:t xml:space="preserve">), never the root alone — a</w:t>
      </w:r>
      <w:r>
        <w:t xml:space="preserve"> 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cannot recompute a Merkle root over an unknown path set, so the</w:t>
      </w:r>
      <w:r>
        <w:t xml:space="preserve"> </w:t>
      </w:r>
      <w:r>
        <w:t xml:space="preserve">paths must travel with the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addresses and Merkle roots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"sha256:&lt;64 hex&gt;"</w:t>
      </w:r>
      <w:r>
        <w:rPr>
          <w:b/>
          <w:bCs/>
        </w:rPr>
        <w:t xml:space="preserve">-prefixed</w:t>
      </w:r>
      <w:r>
        <w:t xml:space="preserve"> </w:t>
      </w:r>
      <w:r>
        <w:t xml:space="preserve">(data-model.md §0's own</w:t>
      </w:r>
      <w:r>
        <w:t xml:space="preserve"> </w:t>
      </w:r>
      <w:r>
        <w:rPr>
          <w:rStyle w:val="VerbatimChar"/>
        </w:rPr>
        <w:t xml:space="preserve">ContentAddress</w:t>
      </w:r>
      <w:r>
        <w:t xml:space="preserve">/</w:t>
      </w:r>
      <w:r>
        <w:rPr>
          <w:rStyle w:val="VerbatimChar"/>
        </w:rPr>
        <w:t xml:space="preserve">MerkleRoot</w:t>
      </w:r>
      <w:r>
        <w:t xml:space="preserve"> </w:t>
      </w:r>
      <w:r>
        <w:t xml:space="preserve">format);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is the established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t xml:space="preserve">convention's BARE 64-hex string (no</w:t>
      </w:r>
      <w:r>
        <w:t xml:space="preserve"> </w:t>
      </w:r>
      <w:r>
        <w:t xml:space="preserve">prefix) — two different, independently-real established formats, each</w:t>
      </w:r>
      <w:r>
        <w:t xml:space="preserve"> </w:t>
      </w:r>
      <w:r>
        <w:t xml:space="preserve">used exactly where its own convention already defines it, never conflated.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changed_components</w:t>
      </w:r>
      <w:r>
        <w:rPr>
          <w:b/>
          <w:bCs/>
        </w:rPr>
        <w:t xml:space="preserve"> </w:t>
      </w:r>
      <w:r>
        <w:rPr>
          <w:b/>
          <w:bCs/>
        </w:rPr>
        <w:t xml:space="preserve">is a closed vocabulary</w:t>
      </w:r>
      <w:r>
        <w:t xml:space="preserve">:</w:t>
      </w:r>
      <w:r>
        <w:t xml:space="preserve"> </w:t>
      </w:r>
      <w:r>
        <w:rPr>
          <w:rStyle w:val="VerbatimChar"/>
        </w:rPr>
        <w:t xml:space="preserve">"inputs:&lt;path&gt;"</w:t>
      </w:r>
      <w:r>
        <w:t xml:space="preserve"> </w:t>
      </w:r>
      <w:r>
        <w:t xml:space="preserve">(that</w:t>
      </w:r>
      <w:r>
        <w:t xml:space="preserve"> </w:t>
      </w:r>
      <w:r>
        <w:t xml:space="preserve">declared input's content changed),</w:t>
      </w:r>
      <w:r>
        <w:t xml:space="preserve"> </w:t>
      </w:r>
      <w:r>
        <w:rPr>
          <w:rStyle w:val="VerbatimChar"/>
        </w:rPr>
        <w:t xml:space="preserve">"verifier_version"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"target_fingerprint"</w:t>
      </w:r>
      <w:r>
        <w:t xml:space="preserve"> </w:t>
      </w:r>
      <w:r>
        <w:t xml:space="preserve">(the live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differs from the recorded one), and</w:t>
      </w:r>
      <w:r>
        <w:t xml:space="preserve"> </w:t>
      </w:r>
      <w:r>
        <w:rPr>
          <w:rStyle w:val="VerbatimChar"/>
        </w:rPr>
        <w:t xml:space="preserve">"target_fingerprint_unobserved"</w:t>
      </w:r>
      <w:r>
        <w:t xml:space="preserve"> </w:t>
      </w:r>
      <w:r>
        <w:t xml:space="preserve">(ER-005: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omitted for a</w:t>
      </w:r>
      <w:r>
        <w:t xml:space="preserve"> </w:t>
      </w:r>
      <w:r>
        <w:t xml:space="preserve">non-hermetic reference) — DEFINED here; the contract names none of these</w:t>
      </w:r>
      <w:r>
        <w:t xml:space="preserve"> </w:t>
      </w:r>
      <w:r>
        <w:t xml:space="preserve">literally, only "listing the changed components."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Merkle root canonicalization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canon()</w:t>
      </w:r>
      <w:r>
        <w:t xml:space="preserve"> </w:t>
      </w:r>
      <w:r>
        <w:t xml:space="preserve">convention (</w:t>
      </w:r>
      <w:r>
        <w:rPr>
          <w:rStyle w:val="VerbatimChar"/>
        </w:rPr>
        <w:t xml:space="preserve">json.dumps(sort_keys=True, separators=(",",":"), ensure_ascii=False)</w:t>
      </w:r>
      <w:r>
        <w:t xml:space="preserve">) over the sorted</w:t>
      </w:r>
      <w:r>
        <w:t xml:space="preserve"> </w:t>
      </w:r>
      <w:r>
        <w:rPr>
          <w:rStyle w:val="VerbatimChar"/>
        </w:rPr>
        <w:t xml:space="preserve">[path, content_address]</w:t>
      </w:r>
      <w:r>
        <w:t xml:space="preserve"> </w:t>
      </w:r>
      <w:r>
        <w:t xml:space="preserve">pair list —</w:t>
      </w:r>
      <w:r>
        <w:t xml:space="preserve"> </w:t>
      </w:r>
      <w:r>
        <w:t xml:space="preserve">never a bespoke separator scheme — per §11.4.227 (extend, don't invent a</w:t>
      </w:r>
      <w:r>
        <w:t xml:space="preserve"> </w:t>
      </w:r>
      <w:r>
        <w:t xml:space="preserve">second serialization convention alongside an already-established one).</w:t>
      </w:r>
      <w:r>
        <w:t xml:space="preserve"> </w:t>
      </w:r>
      <w:r>
        <w:t xml:space="preserve">Pairs sort by the path string's raw UTF-8 BYTES (data-model.md §0's own</w:t>
      </w:r>
      <w:r>
        <w:t xml:space="preserve"> </w:t>
      </w:r>
      <w:r>
        <w:t xml:space="preserve">"sorted bytewise by path"), never a locale-dependent string sort (C-003;</w:t>
      </w:r>
      <w:r>
        <w:t xml:space="preserve"> </w:t>
      </w:r>
      <w:r>
        <w:t xml:space="preserve">the T105 GNU-</w:t>
      </w:r>
      <w:r>
        <w:rPr>
          <w:rStyle w:val="VerbatimChar"/>
        </w:rPr>
        <w:t xml:space="preserve">sort</w:t>
      </w:r>
      <w:r>
        <w:t xml:space="preserve">-vs-Python lesson applies here too, though every path</w:t>
      </w:r>
      <w:r>
        <w:t xml:space="preserve"> </w:t>
      </w:r>
      <w:r>
        <w:t xml:space="preserve">in this fixture set is plain ASCII so the two orderings happen to coincide</w:t>
      </w:r>
      <w:r>
        <w:t xml:space="preserve"> </w:t>
      </w:r>
      <w:r>
        <w:t xml:space="preserve">— the bytewise construction is used anyway, on principle, not by luck).</w:t>
      </w:r>
    </w:p>
    <w:bookmarkEnd w:id="10"/>
    <w:bookmarkStart w:id="11" w:name="X259f0a7ac964f1f658087ce0eb9190e1d548646"/>
    <w:p>
      <w:pPr>
        <w:pStyle w:val="Heading2"/>
      </w:pPr>
      <w:r>
        <w:t xml:space="preserve">What this RED test does NOT cover (honest, explicit gap)</w:t>
      </w:r>
    </w:p>
    <w:p>
      <w:pPr>
        <w:pStyle w:val="FirstParagraph"/>
      </w:pPr>
      <w:r>
        <w:t xml:space="preserve">ER-004 ("a ref whose verifier is an unrecorded LLM judgment is refused at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") and exit code 4 ("target unreadable") are real contract clauses</w:t>
      </w:r>
      <w:r>
        <w:t xml:space="preserve"> </w:t>
      </w:r>
      <w:r>
        <w:t xml:space="preserve">but are NOT among the six RED-fixtures-table rows this directory encodes —</w:t>
      </w:r>
      <w:r>
        <w:t xml:space="preserve"> </w:t>
      </w:r>
      <w:r>
        <w:t xml:space="preserve">T108's own task line names only the two-step (unchanged/changed)</w:t>
      </w:r>
      <w:r>
        <w:t xml:space="preserve"> 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fixture plus the named golden-bad target-mismatch scenario, and</w:t>
      </w:r>
      <w:r>
        <w:t xml:space="preserve"> </w:t>
      </w:r>
      <w:r>
        <w:t xml:space="preserve">the contract's fixture table itself has no row for either. Left for T117</w:t>
      </w:r>
      <w:r>
        <w:t xml:space="preserve"> </w:t>
      </w:r>
      <w:r>
        <w:t xml:space="preserve">review time, exactly as</w:t>
      </w:r>
      <w:r>
        <w:t xml:space="preserve"> </w:t>
      </w:r>
      <w:r>
        <w:rPr>
          <w:rStyle w:val="VerbatimChar"/>
        </w:rPr>
        <w:t xml:space="preserve">fixtures/governance_subset/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--item</w:t>
      </w:r>
      <w:r>
        <w:t xml:space="preserve"> </w:t>
      </w:r>
      <w:r>
        <w:t xml:space="preserve">resolution gap was left for T112.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2026-10-11T22:28:30Z</dcterms:created>
  <dcterms:modified xsi:type="dcterms:W3CDTF">2026-10-11T22:28:30Z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