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952282738356fad0723a033608db0efab1fdd6"/>
    <w:p>
      <w:pPr>
        <w:pStyle w:val="Heading1"/>
      </w:pPr>
      <w:r>
        <w:t xml:space="preserve">go_negctrl_already_first (negative control)</w:t>
      </w:r>
    </w:p>
    <w:p>
      <w:pPr>
        <w:pStyle w:val="FirstParagraph"/>
      </w:pPr>
      <w:r>
        <w:t xml:space="preserve">Own</w:t>
      </w:r>
      <w:r>
        <w:t xml:space="preserve"> </w:t>
      </w:r>
      <w:r>
        <w:rPr>
          <w:rStyle w:val="VerbatimChar"/>
        </w:rPr>
        <w:t xml:space="preserve">affected.json</w:t>
      </w:r>
      <w:r>
        <w:t xml:space="preserve"> </w:t>
      </w:r>
      <w:r>
        <w:t xml:space="preserve">(NOT the shared one) declares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 </w:t>
      </w:r>
      <w:r>
        <w:rPr>
          <w:b/>
          <w:bCs/>
        </w:rPr>
        <w:t xml:space="preserve">already first</w:t>
      </w:r>
      <w:r>
        <w:t xml:space="preserve"> </w:t>
      </w:r>
      <w:r>
        <w:t xml:space="preserve">in section order (</w:t>
      </w:r>
      <w:r>
        <w:rPr>
          <w:rStyle w:val="VerbatimChar"/>
        </w:rPr>
        <w:t xml:space="preserve">c, a, b, d</w:t>
      </w:r>
      <w:r>
        <w:t xml:space="preserve">), using the SAME toy gates</w:t>
      </w:r>
      <w:r>
        <w:t xml:space="preserve"> </w:t>
      </w:r>
      <w:r>
        <w:t xml:space="preserve">and the SAME</w:t>
      </w:r>
      <w:r>
        <w:t xml:space="preserve"> </w:t>
      </w:r>
      <w:r>
        <w:rPr>
          <w:rStyle w:val="VerbatimChar"/>
        </w:rPr>
        <w:t xml:space="preserve">../_shared/history/prebuild_sections.tsv</w:t>
      </w:r>
      <w:r>
        <w:t xml:space="preserve"> </w:t>
      </w:r>
      <w:r>
        <w:t xml:space="preserve">history.</w:t>
      </w:r>
    </w:p>
    <w:p>
      <w:pPr>
        <w:pStyle w:val="BodyText"/>
      </w:pPr>
      <w:r>
        <w:t xml:space="preserve">The §11.4.201(1) false-positive guard:</w:t>
      </w:r>
      <w:r>
        <w:t xml:space="preserve"> </w:t>
      </w:r>
      <w:r>
        <w:rPr>
          <w:rStyle w:val="VerbatimChar"/>
        </w:rPr>
        <w:t xml:space="preserve">--order history-cost</w:t>
      </w:r>
      <w:r>
        <w:t xml:space="preserve"> </w:t>
      </w:r>
      <w:r>
        <w:t xml:space="preserve">still ranks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 </w:t>
      </w:r>
      <w:r>
        <w:t xml:space="preserve">first by fail_rate/mean_cost — reordering is a NO-OP</w:t>
      </w:r>
      <w:r>
        <w:t xml:space="preserve"> </w:t>
      </w:r>
      <w:r>
        <w:t xml:space="preserve">here since the declared order already matches the ranked order. The tool</w:t>
      </w:r>
      <w:r>
        <w:t xml:space="preserve"> </w:t>
      </w:r>
      <w:r>
        <w:t xml:space="preserve">MUST still produce the correct, correctly-labelled result (execution order</w:t>
      </w:r>
      <w:r>
        <w:t xml:space="preserve"> </w:t>
      </w:r>
      <w:r>
        <w:t xml:space="preserve">first =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, verdict FAIL) — proving the ordering</w:t>
      </w:r>
      <w:r>
        <w:t xml:space="preserve"> </w:t>
      </w:r>
      <w:r>
        <w:t xml:space="preserve">mechanism is not merely "always report whatever is declared first" nor</w:t>
      </w:r>
      <w:r>
        <w:t xml:space="preserve"> </w:t>
      </w:r>
      <w:r>
        <w:t xml:space="preserve">doing anything vacuous; it genuinely ranks by history every time, and in</w:t>
      </w:r>
      <w:r>
        <w:t xml:space="preserve"> </w:t>
      </w:r>
      <w:r>
        <w:t xml:space="preserve">this case the ranked order happens to coincide with the declared order.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2026-10-11T22:28:39Z</dcterms:created>
  <dcterms:modified xsi:type="dcterms:W3CDTF">2026-10-11T22:28:39Z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