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97ab4be35177a97ac11947526ede21166ad606"/>
    <w:p>
      <w:pPr>
        <w:pStyle w:val="Heading1"/>
      </w:pPr>
      <w:r>
        <w:t xml:space="preserve">fixtures/limit_class/ — T127 self-validation fixtures</w:t>
      </w:r>
    </w:p>
    <w:p>
      <w:pPr>
        <w:pStyle w:val="FirstParagraph"/>
      </w:pPr>
      <w:r>
        <w:t xml:space="preserve">Fixture convention for</w:t>
      </w:r>
      <w:r>
        <w:t xml:space="preserve"> </w:t>
      </w:r>
      <w:r>
        <w:rPr>
          <w:rStyle w:val="VerbatimChar"/>
        </w:rPr>
        <w:t xml:space="preserve">constitution/scripts/fastcycle/orchestration/limit_class.py</w:t>
      </w:r>
      <w:r>
        <w:t xml:space="preserve"> </w:t>
      </w:r>
      <w:r>
        <w:t xml:space="preserve">(plan.md T-B06; tasks.md T127/T135; research.md DEC-14; contracts/</w:t>
      </w:r>
      <w:r>
        <w:t xml:space="preserve"> </w:t>
      </w:r>
      <w:r>
        <w:t xml:space="preserve">agent-registry-and-handoff.md AR-005; FR-016). Task T127 (</w:t>
      </w:r>
      <w:r>
        <w:rPr>
          <w:rStyle w:val="VerbatimChar"/>
        </w:rPr>
        <w:t xml:space="preserve">tasks.md</w:t>
      </w:r>
      <w:r>
        <w:t xml:space="preserve">) writes</w:t>
      </w:r>
      <w:r>
        <w:t xml:space="preserve"> </w:t>
      </w:r>
      <w:r>
        <w:t xml:space="preserve">ONLY this RED test + these fixtures; the tool itself is T135, a later,</w:t>
      </w:r>
      <w:r>
        <w:t xml:space="preserve"> </w:t>
      </w:r>
      <w:r>
        <w:t xml:space="preserve">separate task (Producer != Verifier, §11.4.240 — this file's author never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limit_class.py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 real contract DOES exist for this tool</w:t>
      </w:r>
      <w:r>
        <w:t xml:space="preserve"> </w:t>
      </w:r>
      <w:r>
        <w:t xml:space="preserve">(unlike T109/tier_route.py):</w:t>
      </w:r>
      <w:r>
        <w:t xml:space="preserve"> </w:t>
      </w:r>
      <w:r>
        <w:rPr>
          <w:rStyle w:val="VerbatimChar"/>
        </w:rPr>
        <w:t xml:space="preserve">specs/004-fast-dev-cycles/contracts/agent-registry-and-handoff.md</w:t>
      </w:r>
      <w:r>
        <w:t xml:space="preserve">'s AR-005</w:t>
      </w:r>
      <w:r>
        <w:t xml:space="preserve"> </w:t>
      </w:r>
      <w:r>
        <w:t xml:space="preserve">clause + Components block fix the CLI verb (</w:t>
      </w:r>
      <w:r>
        <w:rPr>
          <w:rStyle w:val="VerbatimChar"/>
        </w:rPr>
        <w:t xml:space="preserve">limit_class.py --signal &lt;raw&gt; --out &lt;class.json&gt;</w:t>
      </w:r>
      <w:r>
        <w:t xml:space="preserve">), the closed class set, and the exit codes. This fixture</w:t>
      </w:r>
      <w:r>
        <w:t xml:space="preserve"> </w:t>
      </w:r>
      <w:r>
        <w:t xml:space="preserve">set borrows those field names/shapes from the real contract (T104/T108</w:t>
      </w:r>
      <w:r>
        <w:t xml:space="preserve"> </w:t>
      </w:r>
      <w:r>
        <w:t xml:space="preserve">pattern) rather than defining the entire interface from scratch (the T109/</w:t>
      </w:r>
      <w:r>
        <w:t xml:space="preserve"> </w:t>
      </w:r>
      <w:r>
        <w:t xml:space="preserve">tier_route.py pattern, which had no contract at all).</w:t>
      </w:r>
    </w:p>
    <w:bookmarkStart w:id="9" w:name="X7202ec3dacfaba9585cb188f6fd7c3ebc0916c2"/>
    <w:p>
      <w:pPr>
        <w:pStyle w:val="Heading2"/>
      </w:pPr>
      <w:r>
        <w:t xml:space="preserve">The classification rule this fixture set encodes (from research.md DEC-14</w:t>
      </w:r>
    </w:p>
    <w:bookmarkEnd w:id="9"/>
    <w:bookmarkStart w:id="10" w:name="Xf4d718ffca5f679514f2284d4690b0c7ee30a21"/>
    <w:p>
      <w:pPr>
        <w:pStyle w:val="Heading2"/>
      </w:pPr>
      <w:r>
        <w:t xml:space="preserve">+ contracts/agent-registry-and-handoff.md AR-005 + data-model.md's</w:t>
      </w:r>
    </w:p>
    <w:bookmarkEnd w:id="10"/>
    <w:bookmarkStart w:id="11" w:name="X06856350f101c08202168b121fa985198e6cd41"/>
    <w:p>
      <w:pPr>
        <w:pStyle w:val="Heading2"/>
      </w:pPr>
      <w:r>
        <w:rPr>
          <w:rStyle w:val="VerbatimChar"/>
        </w:rPr>
        <w:t xml:space="preserve">limit_signal</w:t>
      </w:r>
      <w:r>
        <w:t xml:space="preserve"> </w:t>
      </w:r>
      <w:r>
        <w:t xml:space="preserve">entity, restated precisely, never invented)</w:t>
      </w:r>
    </w:p>
    <w:p>
      <w:pPr>
        <w:pStyle w:val="FirstParagraph"/>
      </w:pPr>
      <w:r>
        <w:t xml:space="preserve">Closed class set (four members, DEC-14's own words):</w:t>
      </w:r>
      <w:r>
        <w:t xml:space="preserve"> </w:t>
      </w:r>
      <w:r>
        <w:rPr>
          <w:rStyle w:val="VerbatimChar"/>
        </w:rPr>
        <w:t xml:space="preserve">{rate-limited (retry-after present) | cap (spend/subscription/weekly cap: no retry-after, or a named weekly/subscription reset) | context-overflow (prompt too long) | other}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context-overflow</w:t>
      </w:r>
      <w:r>
        <w:t xml:space="preserve"> </w:t>
      </w:r>
      <w:r>
        <w:t xml:space="preserve">— the raw signal is an HTTP 400</w:t>
      </w:r>
      <w:r>
        <w:t xml:space="preserve"> </w:t>
      </w:r>
      <w:r>
        <w:rPr>
          <w:rStyle w:val="VerbatimChar"/>
        </w:rPr>
        <w:t xml:space="preserve">invalid_request</w:t>
      </w:r>
      <w:r>
        <w:t xml:space="preserve"> </w:t>
      </w:r>
      <w:r>
        <w:t xml:space="preserve">whose text names a token/prompt-length ceiling being exceeded ("prompt</w:t>
      </w:r>
      <w:r>
        <w:t xml:space="preserve"> </w:t>
      </w:r>
      <w:r>
        <w:t xml:space="preserve">(is) too long ... N tokens &gt; M maximum"). Structurally distinct from every</w:t>
      </w:r>
      <w:r>
        <w:t xml:space="preserve"> </w:t>
      </w:r>
      <w:r>
        <w:t xml:space="preserve">other class: no HTTP 429, no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, no cap/reset wording anywhere.</w:t>
      </w:r>
      <w:r>
        <w:t xml:space="preserve"> </w:t>
      </w:r>
      <w:r>
        <w:t xml:space="preserve">Handling (AR-005 / plan T-B06): re-dispatch with the governance subset</w:t>
      </w:r>
      <w:r>
        <w:t xml:space="preserve"> </w:t>
      </w:r>
      <w:r>
        <w:t xml:space="preserve">(DEC-12),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with the same prompt.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cap</w:t>
      </w:r>
      <w:r>
        <w:t xml:space="preserve"> </w:t>
      </w:r>
      <w:r>
        <w:t xml:space="preserve">— an HTTP 429 that is EITHER missing a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OR</w:t>
      </w:r>
      <w:r>
        <w:t xml:space="preserve"> </w:t>
      </w:r>
      <w:r>
        <w:t xml:space="preserve">carries a NAMED weekly/subscription reset instant (DEC-14's own</w:t>
      </w:r>
      <w:r>
        <w:t xml:space="preserve"> </w:t>
      </w:r>
      <w:r>
        <w:t xml:space="preserve">disambiguator, stated as an OR of the two conditions). Handling: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retry on that alias; rebind the resume to an operational alias</w:t>
      </w:r>
      <w:r>
        <w:t xml:space="preserve"> </w:t>
      </w:r>
      <w:r>
        <w:t xml:space="preserve">(§11.4.196 native-first order) and mark the alias cooled until its stated</w:t>
      </w:r>
      <w:r>
        <w:t xml:space="preserve"> </w:t>
      </w:r>
      <w:r>
        <w:t xml:space="preserve">reset.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rate-limited</w:t>
      </w:r>
      <w:r>
        <w:t xml:space="preserve"> </w:t>
      </w:r>
      <w:r>
        <w:t xml:space="preserve">— an HTTP 429 that carries a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AND</w:t>
      </w:r>
      <w:r>
        <w:t xml:space="preserve"> </w:t>
      </w:r>
      <w:r>
        <w:t xml:space="preserve">no named weekly/subscription reset (the genuine transient/short-window</w:t>
      </w:r>
      <w:r>
        <w:t xml:space="preserve"> </w:t>
      </w:r>
      <w:r>
        <w:t xml:space="preserve">case). Handling: backoff honouring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, then resume on the same</w:t>
      </w:r>
      <w:r>
        <w:t xml:space="preserve"> </w:t>
      </w:r>
      <w:r>
        <w:t xml:space="preserve">or another alias.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other</w:t>
      </w:r>
      <w:r>
        <w:t xml:space="preserve"> </w:t>
      </w:r>
      <w:r>
        <w:t xml:space="preserve">— none of the above structurally matches; the classifier</w:t>
      </w:r>
      <w:r>
        <w:t xml:space="preserve"> </w:t>
      </w:r>
      <w:r>
        <w:t xml:space="preserve">still emits a verdict (never refuses to classify) per the contract's exit</w:t>
      </w:r>
      <w:r>
        <w:t xml:space="preserve"> </w:t>
      </w:r>
      <w:r>
        <w:t xml:space="preserve">code 1 note ("signal unparseable ... class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emitted with the raw</w:t>
      </w:r>
      <w:r>
        <w:t xml:space="preserve"> </w:t>
      </w:r>
      <w:r>
        <w:t xml:space="preserve">signal").</w:t>
      </w:r>
    </w:p>
    <w:bookmarkEnd w:id="11"/>
    <w:bookmarkStart w:id="12" w:name="layout"/>
    <w:p>
      <w:pPr>
        <w:pStyle w:val="Heading2"/>
      </w:pPr>
      <w:r>
        <w:t xml:space="preserve">Layout</w:t>
      </w:r>
    </w:p>
    <w:p>
      <w:pPr>
        <w:pStyle w:val="FirstParagraph"/>
      </w:pPr>
      <w:r>
        <w:t xml:space="preserve">Five self-contained fixtures, one JSON file each,</w:t>
      </w:r>
      <w:r>
        <w:t xml:space="preserve"> </w:t>
      </w:r>
      <w:r>
        <w:rPr>
          <w:rStyle w:val="VerbatimChar"/>
        </w:rPr>
        <w:t xml:space="preserve">schema: "limit-class-fixture/v1"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lc_golden_cap_weekly.json</w:t>
            </w:r>
          </w:p>
        </w:tc>
        <w:tc>
          <w:tcPr/>
          <w:p>
            <w:pPr>
              <w:pStyle w:val="Compact"/>
            </w:pPr>
            <w:r>
              <w:t xml:space="preserve">golden</w:t>
            </w:r>
          </w:p>
        </w:tc>
        <w:tc>
          <w:tcPr/>
          <w:p>
            <w:pPr>
              <w:pStyle w:val="Compact"/>
            </w:pPr>
            <w:r>
              <w:t xml:space="preserve">T127's own named golden scenario: the 2026-09-26 weekly-cap incident — a REAL row from</w:t>
            </w:r>
            <w:r>
              <w:t xml:space="preserve"> </w:t>
            </w:r>
            <w:r>
              <w:rPr>
                <w:rStyle w:val="VerbatimChar"/>
              </w:rPr>
              <w:t xml:space="preserve">docs/requests/agent_registry.jsonl</w:t>
            </w:r>
            <w:r>
              <w:t xml:space="preserve"> </w:t>
            </w:r>
            <w:r>
              <w:t xml:space="preserve">— classifies as</w:t>
            </w:r>
            <w:r>
              <w:t xml:space="preserve"> </w:t>
            </w:r>
            <w:r>
              <w:rPr>
                <w:rStyle w:val="VerbatimChar"/>
              </w:rPr>
              <w:t xml:space="preserve">cap</w:t>
            </w:r>
            <w:r>
              <w:t xml:space="preserve">, never</w:t>
            </w:r>
            <w:r>
              <w:t xml:space="preserve"> </w:t>
            </w:r>
            <w:r>
              <w:rPr>
                <w:rStyle w:val="VerbatimChar"/>
              </w:rPr>
              <w:t xml:space="preserve">rate-limited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lc_golden_context_overflow.json</w:t>
            </w:r>
          </w:p>
        </w:tc>
        <w:tc>
          <w:tcPr/>
          <w:p>
            <w:pPr>
              <w:pStyle w:val="Compact"/>
            </w:pPr>
            <w:r>
              <w:t xml:space="preserve">golden</w:t>
            </w:r>
          </w:p>
        </w:tc>
        <w:tc>
          <w:tcPr/>
          <w:p>
            <w:pPr>
              <w:pStyle w:val="Compact"/>
            </w:pPr>
            <w:r>
              <w:t xml:space="preserve">T127's own named golden scenario: the haiku prompt-too-long incident — a REAL row from</w:t>
            </w:r>
            <w:r>
              <w:t xml:space="preserve"> </w:t>
            </w:r>
            <w:r>
              <w:rPr>
                <w:rStyle w:val="VerbatimChar"/>
              </w:rPr>
              <w:t xml:space="preserve">docs/requests/agent_registry.jsonl</w:t>
            </w:r>
            <w:r>
              <w:t xml:space="preserve">, corroborated by a second, independently-real occurrence captured 2026-09-30 by this project's own T114 dispatch — classifies as</w:t>
            </w:r>
            <w:r>
              <w:t xml:space="preserve"> </w:t>
            </w:r>
            <w:r>
              <w:rPr>
                <w:rStyle w:val="VerbatimChar"/>
              </w:rPr>
              <w:t xml:space="preserve">context-overflow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lc_bad_cap_via_429_no_retry_after.json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t xml:space="preserve">T127's own named golden-bad scenario ("a cap classified as rate-limited FAILs"): a second REAL row from the SAME 2026-09-26 weekly-cap incident, proving that a plausible mutation (ignore the retry-after/reset disambiguator, call every 429</w:t>
            </w:r>
            <w:r>
              <w:t xml:space="preserve"> </w:t>
            </w:r>
            <w:r>
              <w:rPr>
                <w:rStyle w:val="VerbatimChar"/>
              </w:rPr>
              <w:t xml:space="preserve">rate-limited</w:t>
            </w:r>
            <w:r>
              <w:t xml:space="preserve">) mis-derives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lc_negctrl_rate_limited_retry_after.json</w:t>
            </w:r>
          </w:p>
        </w:tc>
        <w:tc>
          <w:tcPr/>
          <w:p>
            <w:pPr>
              <w:pStyle w:val="Compact"/>
            </w:pPr>
            <w:r>
              <w:t xml:space="preserve">negative-control</w:t>
            </w:r>
          </w:p>
        </w:tc>
        <w:tc>
          <w:tcPr/>
          <w:p>
            <w:pPr>
              <w:pStyle w:val="Compact"/>
            </w:pPr>
            <w:r>
              <w:t xml:space="preserve">discriminator against the two</w:t>
            </w:r>
            <w:r>
              <w:t xml:space="preserve"> </w:t>
            </w:r>
            <w:r>
              <w:rPr>
                <w:rStyle w:val="VerbatimChar"/>
              </w:rPr>
              <w:t xml:space="preserve">cap</w:t>
            </w:r>
            <w:r>
              <w:t xml:space="preserve"> </w:t>
            </w:r>
            <w:r>
              <w:t xml:space="preserve">fixtures above: an HTTP 429 that DOES carry a short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and NO named reset classifies as</w:t>
            </w:r>
            <w:r>
              <w:t xml:space="preserve"> </w:t>
            </w:r>
            <w:r>
              <w:rPr>
                <w:rStyle w:val="VerbatimChar"/>
              </w:rPr>
              <w:t xml:space="preserve">rate-limited</w:t>
            </w:r>
            <w:r>
              <w:t xml:space="preserve">, proving the correct rule does not collapse every 429 into</w:t>
            </w:r>
            <w:r>
              <w:t xml:space="preserve"> </w:t>
            </w:r>
            <w:r>
              <w:rPr>
                <w:rStyle w:val="VerbatimChar"/>
              </w:rPr>
              <w:t xml:space="preserve">cap</w:t>
            </w:r>
            <w:r>
              <w:t xml:space="preserve"> </w:t>
            </w:r>
            <w:r>
              <w:t xml:space="preserve">(the mirror-image failure mode of the golden-bad fixture).</w:t>
            </w:r>
            <w:r>
              <w:t xml:space="preserve"> </w:t>
            </w:r>
            <w:r>
              <w:rPr>
                <w:b/>
                <w:bCs/>
              </w:rPr>
              <w:t xml:space="preserve">Honestly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provenance: constructed</w:t>
            </w:r>
            <w:r>
              <w:t xml:space="preserve"> </w:t>
            </w:r>
            <w:r>
              <w:t xml:space="preserve">— grep-verified (§11.4.115(G)): no real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-bearing row exists anywhere in</w:t>
            </w:r>
            <w:r>
              <w:t xml:space="preserve"> </w:t>
            </w:r>
            <w:r>
              <w:rPr>
                <w:rStyle w:val="VerbatimChar"/>
              </w:rPr>
              <w:t xml:space="preserve">docs/requests/agent_registry.jsonl</w:t>
            </w:r>
            <w:r>
              <w:t xml:space="preserve"> </w:t>
            </w:r>
            <w:r>
              <w:t xml:space="preserve">as of this dispatch.</w:t>
            </w:r>
          </w:p>
        </w:tc>
      </w:tr>
    </w:tbl>
    <w:bookmarkEnd w:id="12"/>
    <w:bookmarkStart w:id="13" w:name="Xfb515680996b2ef98e8826bdebed727fa6fc17d"/>
    <w:p>
      <w:pPr>
        <w:pStyle w:val="Heading2"/>
      </w:pPr>
      <w:r>
        <w:t xml:space="preserve">Wire format (fixed by the real contract —</w:t>
      </w:r>
      <w:r>
        <w:t xml:space="preserve"> </w:t>
      </w:r>
      <w:r>
        <w:rPr>
          <w:rStyle w:val="VerbatimChar"/>
        </w:rPr>
        <w:t xml:space="preserve">class.json</w:t>
      </w:r>
      <w:r>
        <w:t xml:space="preserve">'s shape per</w:t>
      </w:r>
    </w:p>
    <w:bookmarkEnd w:id="13"/>
    <w:bookmarkStart w:id="14" w:name="Xc522ceac46fdab7ce6157c3ace519a96b7549f3"/>
    <w:p>
      <w:pPr>
        <w:pStyle w:val="Heading2"/>
      </w:pPr>
      <w:r>
        <w:rPr>
          <w:rStyle w:val="VerbatimChar"/>
        </w:rPr>
        <w:t xml:space="preserve">data-model.md</w:t>
      </w:r>
      <w:r>
        <w:t xml:space="preserve">'s</w:t>
      </w:r>
      <w:r>
        <w:t xml:space="preserve"> </w:t>
      </w:r>
      <w:r>
        <w:rPr>
          <w:rStyle w:val="VerbatimChar"/>
        </w:rPr>
        <w:t xml:space="preserve">limit_signal</w:t>
      </w:r>
      <w:r>
        <w:t xml:space="preserve"> </w:t>
      </w:r>
      <w:r>
        <w:t xml:space="preserve">entity:</w:t>
      </w:r>
      <w:r>
        <w:t xml:space="preserve"> </w:t>
      </w:r>
      <w:r>
        <w:rPr>
          <w:rStyle w:val="VerbatimChar"/>
        </w:rPr>
        <w:t xml:space="preserve">{class, raw, resets_at}</w:t>
      </w:r>
      <w:r>
        <w:t xml:space="preserve">)</w:t>
      </w:r>
    </w:p>
    <w:p>
      <w:pPr>
        <w:pStyle w:val="FirstParagraph"/>
      </w:pPr>
      <w:r>
        <w:t xml:space="preserve">Each fixture's</w:t>
      </w:r>
      <w:r>
        <w:t xml:space="preserve"> </w:t>
      </w:r>
      <w:r>
        <w:rPr>
          <w:rStyle w:val="VerbatimChar"/>
        </w:rPr>
        <w:t xml:space="preserve">expected_class</w:t>
      </w:r>
      <w:r>
        <w:t xml:space="preserve"> </w:t>
      </w:r>
      <w:r>
        <w:t xml:space="preserve">field is one of the four closed-set string</w:t>
      </w:r>
      <w:r>
        <w:t xml:space="preserve"> </w:t>
      </w:r>
      <w:r>
        <w:t xml:space="preserve">literals above (hyphenated exactly as the contract spells them:</w:t>
      </w:r>
      <w:r>
        <w:t xml:space="preserve"> </w:t>
      </w:r>
      <w:r>
        <w:rPr>
          <w:rStyle w:val="VerbatimChar"/>
        </w:rPr>
        <w:t xml:space="preserve">"rate-limited"</w:t>
      </w:r>
      <w:r>
        <w:t xml:space="preserve">,</w:t>
      </w:r>
      <w:r>
        <w:t xml:space="preserve"> </w:t>
      </w:r>
      <w:r>
        <w:rPr>
          <w:rStyle w:val="VerbatimChar"/>
        </w:rPr>
        <w:t xml:space="preserve">"cap"</w:t>
      </w:r>
      <w:r>
        <w:t xml:space="preserve">,</w:t>
      </w:r>
      <w:r>
        <w:t xml:space="preserve"> </w:t>
      </w:r>
      <w:r>
        <w:rPr>
          <w:rStyle w:val="VerbatimChar"/>
        </w:rPr>
        <w:t xml:space="preserve">"context-overflow"</w:t>
      </w:r>
      <w:r>
        <w:t xml:space="preserve">,</w:t>
      </w:r>
      <w:r>
        <w:t xml:space="preserve"> </w:t>
      </w:r>
      <w:r>
        <w:rPr>
          <w:rStyle w:val="VerbatimChar"/>
        </w:rPr>
        <w:t xml:space="preserve">"other"</w:t>
      </w:r>
      <w:r>
        <w:t xml:space="preserve">). This suite's</w:t>
      </w:r>
      <w:r>
        <w:t xml:space="preserve"> </w:t>
      </w:r>
      <w:r>
        <w:rPr>
          <w:rStyle w:val="VerbatimChar"/>
        </w:rPr>
        <w:t xml:space="preserve">derive_class</w:t>
      </w:r>
      <w:r>
        <w:t xml:space="preserve"> </w:t>
      </w:r>
      <w:r>
        <w:t xml:space="preserve">(embedded in</w:t>
      </w:r>
      <w:r>
        <w:t xml:space="preserve"> </w:t>
      </w:r>
      <w:r>
        <w:rPr>
          <w:rStyle w:val="VerbatimChar"/>
        </w:rPr>
        <w:t xml:space="preserve">test_limit_class_red.sh</w:t>
      </w:r>
      <w:r>
        <w:t xml:space="preserve">, never imported by nor</w:t>
      </w:r>
      <w:r>
        <w:t xml:space="preserve"> </w:t>
      </w:r>
      <w:r>
        <w:t xml:space="preserve">shared with the not-yet-existing</w:t>
      </w:r>
      <w:r>
        <w:t xml:space="preserve"> </w:t>
      </w:r>
      <w:r>
        <w:rPr>
          <w:rStyle w:val="VerbatimChar"/>
        </w:rPr>
        <w:t xml:space="preserve">orchestration/limit_class.py</w:t>
      </w:r>
      <w:r>
        <w:t xml:space="preserve">, section</w:t>
      </w:r>
      <w:r>
        <w:t xml:space="preserve"> </w:t>
      </w:r>
      <w:r>
        <w:t xml:space="preserve">11.4.245) is the DERIVED oracle every fixture's own</w:t>
      </w:r>
      <w:r>
        <w:t xml:space="preserve"> </w:t>
      </w:r>
      <w:r>
        <w:rPr>
          <w:rStyle w:val="VerbatimChar"/>
        </w:rPr>
        <w:t xml:space="preserve">expected_class</w:t>
      </w:r>
      <w:r>
        <w:t xml:space="preserve"> </w:t>
      </w:r>
      <w:r>
        <w:t xml:space="preserve">is</w:t>
      </w:r>
      <w:r>
        <w:t xml:space="preserve"> </w:t>
      </w:r>
      <w:r>
        <w:t xml:space="preserve">independently re-verified against before that value is trusted for anything</w:t>
      </w:r>
      <w:r>
        <w:t xml:space="preserve"> </w:t>
      </w:r>
      <w:r>
        <w:t xml:space="preserve">downstream (mirroring</w:t>
      </w:r>
      <w:r>
        <w:t xml:space="preserve"> </w:t>
      </w:r>
      <w:r>
        <w:rPr>
          <w:rStyle w:val="VerbatimChar"/>
        </w:rPr>
        <w:t xml:space="preserve">test_tier_routing_red.sh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derive_route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test_governance_subset_red.sh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derive_selection</w:t>
      </w:r>
      <w:r>
        <w:t xml:space="preserve"> </w:t>
      </w:r>
      <w:r>
        <w:t xml:space="preserve">precedent exactly).</w:t>
      </w:r>
    </w:p>
    <w:p>
      <w:pPr>
        <w:pStyle w:val="BodyText"/>
      </w:pPr>
      <w:r>
        <w:t xml:space="preserve">The forward-compatible CLI this suite's "real-tool invocation" block</w:t>
      </w:r>
      <w:r>
        <w:t xml:space="preserve"> </w:t>
      </w:r>
      <w:r>
        <w:t xml:space="preserve">exercises once T135 lands:</w:t>
      </w:r>
      <w:r>
        <w:t xml:space="preserve"> </w:t>
      </w:r>
      <w:r>
        <w:rPr>
          <w:rStyle w:val="VerbatimChar"/>
        </w:rPr>
        <w:t xml:space="preserve">orchestration/limit_class.py --signal &lt;raw&gt; --out &lt;class.json&gt;</w:t>
      </w:r>
      <w:r>
        <w:t xml:space="preserve"> </w:t>
      </w:r>
      <w:r>
        <w:t xml:space="preserve">— the REAL, contract-fixed verb (not speculative, unlike</w:t>
      </w:r>
      <w:r>
        <w:t xml:space="preserve"> </w:t>
      </w:r>
      <w:r>
        <w:t xml:space="preserve">T109/tier_route.py's provisional verb). Output shape</w:t>
      </w:r>
      <w:r>
        <w:t xml:space="preserve"> </w:t>
      </w:r>
      <w:r>
        <w:rPr>
          <w:rStyle w:val="VerbatimChar"/>
        </w:rPr>
        <w:t xml:space="preserve">{class: str, raw: str, resets_at: str|"UNKNOWN"}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data-model.md</w:t>
      </w:r>
      <w:r>
        <w:t xml:space="preserve">'s</w:t>
      </w:r>
      <w:r>
        <w:t xml:space="preserve"> </w:t>
      </w:r>
      <w:r>
        <w:rPr>
          <w:rStyle w:val="VerbatimChar"/>
        </w:rPr>
        <w:t xml:space="preserve">limit_signal</w:t>
      </w:r>
      <w:r>
        <w:t xml:space="preserve"> </w:t>
      </w:r>
      <w:r>
        <w:t xml:space="preserve">entity.</w:t>
      </w:r>
    </w:p>
    <w:bookmarkEnd w:id="14"/>
    <w:bookmarkStart w:id="15" w:name="Xde07a2e0b7e4c382f42648ede0b0cfd79d5e22d"/>
    <w:p>
      <w:pPr>
        <w:pStyle w:val="Heading2"/>
      </w:pPr>
      <w:r>
        <w:t xml:space="preserve">Provenance discipline (section 11.4.115(G) / section 11.4.6 — CONSTRUCTED</w:t>
      </w:r>
    </w:p>
    <w:bookmarkEnd w:id="15"/>
    <w:bookmarkStart w:id="16" w:name="X5157af1d55214b1a1857e842f1cdf76a72dd722"/>
    <w:p>
      <w:pPr>
        <w:pStyle w:val="Heading2"/>
      </w:pPr>
      <w:r>
        <w:t xml:space="preserve">reproductions never silently pass as OBSERVED ones)</w:t>
      </w:r>
    </w:p>
    <w:p>
      <w:pPr>
        <w:pStyle w:val="FirstParagraph"/>
      </w:pPr>
      <w:r>
        <w:t xml:space="preserve">Three of the five fixtures carry</w:t>
      </w:r>
      <w:r>
        <w:t xml:space="preserve"> </w:t>
      </w:r>
      <w:r>
        <w:rPr>
          <w:rStyle w:val="VerbatimChar"/>
        </w:rPr>
        <w:t xml:space="preserve">provenance: "observed"</w:t>
      </w:r>
      <w:r>
        <w:t xml:space="preserve"> </w:t>
      </w:r>
      <w:r>
        <w:t xml:space="preserve">(their</w:t>
      </w:r>
      <w:r>
        <w:t xml:space="preserve"> </w:t>
      </w:r>
      <w:r>
        <w:rPr>
          <w:rStyle w:val="VerbatimChar"/>
        </w:rPr>
        <w:t xml:space="preserve">raw_signal</w:t>
      </w:r>
      <w:r>
        <w:t xml:space="preserve"> </w:t>
      </w:r>
      <w:r>
        <w:t xml:space="preserve">is copied byte-for-byte from a real, cited row in</w:t>
      </w:r>
      <w:r>
        <w:t xml:space="preserve"> </w:t>
      </w:r>
      <w:r>
        <w:rPr>
          <w:rStyle w:val="VerbatimChar"/>
        </w:rPr>
        <w:t xml:space="preserve">docs/requests/ agent_registry.jsonl</w:t>
      </w:r>
      <w:r>
        <w:t xml:space="preserve"> </w:t>
      </w:r>
      <w:r>
        <w:t xml:space="preserve">or, for the context-overflow corroborating signal, from</w:t>
      </w:r>
      <w:r>
        <w:t xml:space="preserve"> </w:t>
      </w:r>
      <w:r>
        <w:rPr>
          <w:rStyle w:val="VerbatimChar"/>
        </w:rPr>
        <w:t xml:space="preserve">specs/004-fast-dev-cycles/tasks.md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 requests/history.md</w:t>
      </w:r>
      <w:r>
        <w:t xml:space="preserve">). The negative-control fixture is honestly</w:t>
      </w:r>
      <w:r>
        <w:t xml:space="preserve"> </w:t>
      </w:r>
      <w:r>
        <w:rPr>
          <w:rStyle w:val="VerbatimChar"/>
        </w:rPr>
        <w:t xml:space="preserve">provenance: "constructed"</w:t>
      </w:r>
      <w:r>
        <w:t xml:space="preserve"> </w:t>
      </w:r>
      <w:r>
        <w:t xml:space="preserve">— no real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-bearing 429 row exists</w:t>
      </w:r>
      <w:r>
        <w:t xml:space="preserve"> </w:t>
      </w:r>
      <w:r>
        <w:t xml:space="preserve">in this project's registry to date (confirmed by a</w:t>
      </w:r>
      <w:r>
        <w:t xml:space="preserve"> </w:t>
      </w:r>
      <w:r>
        <w:rPr>
          <w:rStyle w:val="VerbatimChar"/>
        </w:rPr>
        <w:t xml:space="preserve">grep -i retry-after</w:t>
      </w:r>
      <w:r>
        <w:t xml:space="preserve"> </w:t>
      </w:r>
      <w:r>
        <w:t xml:space="preserve">control needle in the test script itself, not merely asserted here); the</w:t>
      </w:r>
      <w:r>
        <w:t xml:space="preserve"> </w:t>
      </w:r>
      <w:r>
        <w:t xml:space="preserve">field shape it constructs (a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seconds header on a 429) is the</w:t>
      </w:r>
      <w:r>
        <w:t xml:space="preserve"> </w:t>
      </w:r>
      <w:r>
        <w:t xml:space="preserve">standard, well-established Anthropic API rate-limit convention this</w:t>
      </w:r>
      <w:r>
        <w:t xml:space="preserve"> </w:t>
      </w:r>
      <w:r>
        <w:t xml:space="preserve">project's own constitution already cites (§11.4.187/§11.4.196(B) captured</w:t>
      </w:r>
      <w:r>
        <w:t xml:space="preserve"> </w:t>
      </w:r>
      <w:r>
        <w:t xml:space="preserve">429 signature; research.md DEC-14's own cited source, Anthropic rate limits,</w:t>
      </w:r>
      <w:r>
        <w:t xml:space="preserve"> </w:t>
      </w:r>
      <w:r>
        <w:t xml:space="preserve">R5:97) — never fabricated at random.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2026-10-11T22:28:50Z</dcterms:created>
  <dcterms:modified xsi:type="dcterms:W3CDTF">2026-10-11T22:28:50Z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