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f57949cfa2ab1cc9ca0aff0085c7b82154c6b5e"/>
    <w:p>
      <w:pPr>
        <w:pStyle w:val="Heading1"/>
      </w:pPr>
      <w:r>
        <w:t xml:space="preserve">fixtures/mutation_reuse/ — T057 (SpecKit-004 "fast-dev-cycles", plan T-C07)</w:t>
      </w:r>
    </w:p>
    <w:p>
      <w:pPr>
        <w:pStyle w:val="FirstParagraph"/>
      </w:pPr>
      <w:r>
        <w:t xml:space="preserve">Fixtures proving</w:t>
      </w:r>
      <w:r>
        <w:t xml:space="preserve"> </w:t>
      </w:r>
      <w:r>
        <w:rPr>
          <w:rStyle w:val="VerbatimChar"/>
        </w:rPr>
        <w:t xml:space="preserve">constitution/scripts/fastcycle/gates/mutation_reuse.py</w:t>
      </w:r>
      <w:r>
        <w:t xml:space="preserve"> </w:t>
      </w:r>
      <w:r>
        <w:t xml:space="preserve">(not yet</w:t>
      </w:r>
      <w:r>
        <w:t xml:space="preserve"> </w:t>
      </w:r>
      <w:r>
        <w:t xml:space="preserve">implemented — T-C07) will correctly implement DEC-23's sound-mutation-reuse rule:</w:t>
      </w:r>
    </w:p>
    <w:p>
      <w:pPr>
        <w:pStyle w:val="BlockText"/>
      </w:pPr>
      <w:r>
        <w:t xml:space="preserve">re-execute a paired mutation only when</w:t>
      </w:r>
      <w:r>
        <w:t xml:space="preserve"> </w:t>
      </w:r>
      <w:r>
        <w:rPr>
          <w:rStyle w:val="VerbatimChar"/>
        </w:rPr>
        <w:t xml:space="preserve">hash(patch ‖ target gate script ‖ observed inputs ‖ tool versions)</w:t>
      </w:r>
      <w:r>
        <w:t xml:space="preserve"> </w:t>
      </w:r>
      <w:r>
        <w:t xml:space="preserve">changed;</w:t>
      </w:r>
      <w:r>
        <w:t xml:space="preserve"> </w:t>
      </w:r>
      <w:r>
        <w:t xml:space="preserve">reuse KILLED only (SURVIVED is always re-examined); detect byte-identical</w:t>
      </w:r>
      <w:r>
        <w:t xml:space="preserve"> </w:t>
      </w:r>
      <w:r>
        <w:t xml:space="preserve">(normalised) mutated scripts and report them as equivalent/duplicate instead</w:t>
      </w:r>
      <w:r>
        <w:t xml:space="preserve"> </w:t>
      </w:r>
      <w:r>
        <w:t xml:space="preserve">of running twice.</w:t>
      </w:r>
    </w:p>
    <w:bookmarkStart w:id="9" w:name="shared-fixture-content"/>
    <w:p>
      <w:pPr>
        <w:pStyle w:val="Heading2"/>
      </w:pPr>
      <w:r>
        <w:t xml:space="preserve">Shared fixture content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gate_script.sh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gate_script_v2.sh</w:t>
      </w:r>
      <w:r>
        <w:t xml:space="preserve"> </w:t>
      </w:r>
      <w:r>
        <w:t xml:space="preserve">— two genuinely different toy gate</w:t>
      </w:r>
      <w:r>
        <w:t xml:space="preserve"> </w:t>
      </w:r>
      <w:r>
        <w:t xml:space="preserve">scripts (different grep rule) used across scenarios.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mutation_patch.diff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mutation_patch_v2.diff</w:t>
      </w:r>
      <w:r>
        <w:t xml:space="preserve"> </w:t>
      </w:r>
      <w:r>
        <w:t xml:space="preserve">— two genuinely different</w:t>
      </w:r>
      <w:r>
        <w:t xml:space="preserve"> </w:t>
      </w:r>
      <w:r>
        <w:t xml:space="preserve">toy mutation patches.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observed_input.txt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observed_input_flipped.txt</w:t>
      </w:r>
      <w:r>
        <w:t xml:space="preserve"> </w:t>
      </w:r>
      <w:r>
        <w:t xml:space="preserve">— two byte-differing</w:t>
      </w:r>
      <w:r>
        <w:t xml:space="preserve"> </w:t>
      </w:r>
      <w:r>
        <w:t xml:space="preserve">toy observed-input files.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evidence.txt</w:t>
      </w:r>
      <w:r>
        <w:t xml:space="preserve"> </w:t>
      </w:r>
      <w:r>
        <w:t xml:space="preserve">— a stub evidence file referenced by</w:t>
      </w:r>
      <w:r>
        <w:t xml:space="preserve"> </w:t>
      </w:r>
      <w:r>
        <w:rPr>
          <w:rStyle w:val="VerbatimChar"/>
        </w:rPr>
        <w:t xml:space="preserve">--evidence</w:t>
      </w:r>
      <w:r>
        <w:t xml:space="preserve"> </w:t>
      </w:r>
      <w:r>
        <w:t xml:space="preserve">in the</w:t>
      </w:r>
      <w:r>
        <w:t xml:space="preserve"> </w:t>
      </w:r>
      <w:r>
        <w:t xml:space="preserve">RED test's real tool-invocation section.</w:t>
      </w:r>
    </w:p>
    <w:bookmarkEnd w:id="9"/>
    <w:bookmarkStart w:id="10" w:name="X6e83f6bd5d7ed29167b47ed24b802ed5fc72e28"/>
    <w:p>
      <w:pPr>
        <w:pStyle w:val="Heading2"/>
      </w:pPr>
      <w:r>
        <w:t xml:space="preserve">Cache-behavior scenarios (put_envelope.json / get_envelope.json / expected)</w:t>
      </w:r>
    </w:p>
    <w:p>
      <w:pPr>
        <w:pStyle w:val="FirstParagraph"/>
      </w:pPr>
      <w:r>
        <w:t xml:space="preserve">Each of the 7 directories below carries a</w:t>
      </w:r>
      <w:r>
        <w:t xml:space="preserve"> </w:t>
      </w:r>
      <w:r>
        <w:rPr>
          <w:rStyle w:val="VerbatimChar"/>
        </w:rPr>
        <w:t xml:space="preserve">put_envelope.json</w:t>
      </w:r>
      <w:r>
        <w:t xml:space="preserve"> </w:t>
      </w:r>
      <w:r>
        <w:t xml:space="preserve">(what a prior</w:t>
      </w:r>
      <w:r>
        <w:t xml:space="preserve"> </w:t>
      </w:r>
      <w:r>
        <w:t xml:space="preserve">run stored) and a</w:t>
      </w:r>
      <w:r>
        <w:t xml:space="preserve"> </w:t>
      </w:r>
      <w:r>
        <w:rPr>
          <w:rStyle w:val="VerbatimChar"/>
        </w:rPr>
        <w:t xml:space="preserve">get_envelope.json</w:t>
      </w:r>
      <w:r>
        <w:t xml:space="preserve"> </w:t>
      </w:r>
      <w:r>
        <w:t xml:space="preserve">(what the current run asks about),</w:t>
      </w:r>
      <w:r>
        <w:t xml:space="preserve"> </w:t>
      </w:r>
      <w:r>
        <w:t xml:space="preserve">built from the shared content above, plus an</w:t>
      </w:r>
      <w:r>
        <w:t xml:space="preserve"> </w:t>
      </w:r>
      <w:r>
        <w:rPr>
          <w:rStyle w:val="VerbatimChar"/>
        </w:rPr>
        <w:t xml:space="preserve">expected</w:t>
      </w:r>
      <w:r>
        <w:t xml:space="preserve"> </w:t>
      </w:r>
      <w:r>
        <w:t xml:space="preserve">file whose first</w:t>
      </w:r>
      <w:r>
        <w:t xml:space="preserve"> </w:t>
      </w:r>
      <w:r>
        <w:t xml:space="preserve">line is</w:t>
      </w:r>
      <w:r>
        <w:t xml:space="preserve"> </w:t>
      </w:r>
      <w:r>
        <w:rPr>
          <w:rStyle w:val="VerbatimChar"/>
        </w:rPr>
        <w:t xml:space="preserve">HIT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MISS</w:t>
      </w:r>
      <w:r>
        <w:t xml:space="preserve"> </w:t>
      </w:r>
      <w:r>
        <w:t xml:space="preserve">and whose remaining lines explain why: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mr_good_killed_reuse</w:t>
            </w:r>
          </w:p>
        </w:tc>
        <w:tc>
          <w:tcPr/>
          <w:p>
            <w:pPr>
              <w:pStyle w:val="Compact"/>
            </w:pPr>
            <w:r>
              <w:t xml:space="preserve">golden-good: unchanged key, KILLED verdict → HIT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mr_bad_survived_never_reused</w:t>
            </w:r>
          </w:p>
        </w:tc>
        <w:tc>
          <w:tcPr/>
          <w:p>
            <w:pPr>
              <w:pStyle w:val="Compact"/>
            </w:pPr>
            <w:r>
              <w:t xml:space="preserve">golden-bad: unchanged key, SURVIVED verdict → MISS always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mr_one_input_changed</w:t>
            </w:r>
          </w:p>
        </w:tc>
        <w:tc>
          <w:tcPr/>
          <w:p>
            <w:pPr>
              <w:pStyle w:val="Compact"/>
            </w:pPr>
            <w:r>
              <w:t xml:space="preserve">primary case: one observed input byte flipped → MISS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mr_negctrl_mtime_only</w:t>
            </w:r>
          </w:p>
        </w:tc>
        <w:tc>
          <w:tcPr/>
          <w:p>
            <w:pPr>
              <w:pStyle w:val="Compact"/>
            </w:pPr>
            <w:r>
              <w:t xml:space="preserve">negative control: mtime-only diff, content same → HIT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mr_flip_patch</w:t>
            </w:r>
          </w:p>
        </w:tc>
        <w:tc>
          <w:tcPr/>
          <w:p>
            <w:pPr>
              <w:pStyle w:val="Compact"/>
            </w:pPr>
            <w:r>
              <w:t xml:space="preserve">control needle: different mutation patch → MISS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mr_flip_gate_script</w:t>
            </w:r>
          </w:p>
        </w:tc>
        <w:tc>
          <w:tcPr/>
          <w:p>
            <w:pPr>
              <w:pStyle w:val="Compact"/>
            </w:pPr>
            <w:r>
              <w:t xml:space="preserve">control needle: gate script itself changed → MISS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mr_flip_tool_version</w:t>
            </w:r>
          </w:p>
        </w:tc>
        <w:tc>
          <w:tcPr/>
          <w:p>
            <w:pPr>
              <w:pStyle w:val="Compact"/>
            </w:pPr>
            <w:r>
              <w:t xml:space="preserve">control needle: toolchain version changed → MISS</w:t>
            </w:r>
          </w:p>
        </w:tc>
      </w:tr>
    </w:tbl>
    <w:bookmarkEnd w:id="10"/>
    <w:bookmarkStart w:id="11" w:name="X23e288635a88eb570887ebfc732fa8990548742"/>
    <w:p>
      <w:pPr>
        <w:pStyle w:val="Heading2"/>
      </w:pPr>
      <w:r>
        <w:t xml:space="preserve">Cross-gate isolation scenario (mr_gate_isolation/)</w:t>
      </w:r>
    </w:p>
    <w:p>
      <w:pPr>
        <w:pStyle w:val="FirstParagraph"/>
      </w:pPr>
      <w:r>
        <w:rPr>
          <w:rStyle w:val="VerbatimChar"/>
        </w:rPr>
        <w:t xml:space="preserve">mr_gate_isolation/</w:t>
      </w:r>
      <w:r>
        <w:t xml:space="preserve"> </w:t>
      </w:r>
      <w:r>
        <w:t xml:space="preserve">is a distinct fixture shape (its own subdirectory,</w:t>
      </w:r>
      <w:r>
        <w:t xml:space="preserve"> </w:t>
      </w:r>
      <w:r>
        <w:t xml:space="preserve">own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 from the 7 above: it puts TWO independent gates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GATE-MR-ISO-A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GATE-MR-ISO-B</w:t>
      </w:r>
      <w:r>
        <w:t xml:space="preserve"> </w:t>
      </w:r>
      <w:r>
        <w:t xml:space="preserve">— distinct gate scripts + distinct</w:t>
      </w:r>
      <w:r>
        <w:t xml:space="preserve"> </w:t>
      </w:r>
      <w:r>
        <w:t xml:space="preserve">mutation patches, so their DEC-23 keys are provably distinct) into ONE</w:t>
      </w:r>
      <w:r>
        <w:t xml:space="preserve"> </w:t>
      </w:r>
      <w:r>
        <w:t xml:space="preserve">SHARED cache directory, closing the "(not others)" half of tasks.md</w:t>
      </w:r>
      <w:r>
        <w:t xml:space="preserve"> </w:t>
      </w:r>
      <w:r>
        <w:t xml:space="preserve">T057's case 1 ("changing one gate's input content re-runs THAT gate's</w:t>
      </w:r>
      <w:r>
        <w:t xml:space="preserve"> </w:t>
      </w:r>
      <w:r>
        <w:t xml:space="preserve">mutations (not others)") — none of the 7 scenarios above tests this</w:t>
      </w:r>
      <w:r>
        <w:t xml:space="preserve"> </w:t>
      </w:r>
      <w:r>
        <w:t xml:space="preserve">alone, since each of them uses a single hardcoded gate id in its own</w:t>
      </w:r>
      <w:r>
        <w:t xml:space="preserve"> </w:t>
      </w:r>
      <w:r>
        <w:t xml:space="preserve">isolated scratch cache directory. See</w:t>
      </w:r>
      <w:r>
        <w:t xml:space="preserve"> </w:t>
      </w:r>
      <w:r>
        <w:rPr>
          <w:rStyle w:val="VerbatimChar"/>
        </w:rPr>
        <w:t xml:space="preserve">mr_gate_isolation/README.md</w:t>
      </w:r>
      <w:r>
        <w:t xml:space="preserve"> </w:t>
      </w:r>
      <w:r>
        <w:t xml:space="preserve">for</w:t>
      </w:r>
      <w:r>
        <w:t xml:space="preserve"> </w:t>
      </w:r>
      <w:r>
        <w:t xml:space="preserve">the full scenario.</w:t>
      </w:r>
    </w:p>
    <w:p>
      <w:pPr>
        <w:pStyle w:val="BodyText"/>
      </w:pPr>
      <w:r>
        <w:rPr>
          <w:rStyle w:val="VerbatimChar"/>
        </w:rPr>
        <w:t xml:space="preserve">dec23_key_ref.py</w:t>
      </w:r>
      <w:r>
        <w:t xml:space="preserve"> </w:t>
      </w:r>
      <w:r>
        <w:t xml:space="preserve">(</w:t>
      </w:r>
      <w:r>
        <w:rPr>
          <w:rStyle w:val="VerbatimChar"/>
        </w:rPr>
        <w:t xml:space="preserve">../lib/dec23_key_ref.py</w:t>
      </w:r>
      <w:r>
        <w:t xml:space="preserve">) is this project's own</w:t>
      </w:r>
      <w:r>
        <w:t xml:space="preserve"> </w:t>
      </w:r>
      <w:r>
        <w:t xml:space="preserve">reference implementation of the 4-component DEC-23 key formula, used by the</w:t>
      </w:r>
      <w:r>
        <w:t xml:space="preserve"> </w:t>
      </w:r>
      <w:r>
        <w:t xml:space="preserve">RED test's Section B to prove every scenario's put/get envelope pair is</w:t>
      </w:r>
      <w:r>
        <w:t xml:space="preserve"> </w:t>
      </w:r>
      <w:r>
        <w:t xml:space="preserve">non-vacuous (keys genuinely match or genuinely differ, as each scenario</w:t>
      </w:r>
      <w:r>
        <w:t xml:space="preserve"> </w:t>
      </w:r>
      <w:r>
        <w:t xml:space="preserve">claims) BEFORE any claim is made about the absent real tool.</w:t>
      </w:r>
    </w:p>
    <w:bookmarkEnd w:id="11"/>
    <w:bookmarkStart w:id="12" w:name="Xc436e73c1156f45349ed7424a0eedc8c0cce5ce"/>
    <w:p>
      <w:pPr>
        <w:pStyle w:val="Heading2"/>
      </w:pPr>
      <w:r>
        <w:t xml:space="preserve">TCE-dedup scenarios (mr_tce_duplicate / mr_tce_distinct)</w:t>
      </w:r>
    </w:p>
    <w:p>
      <w:pPr>
        <w:pStyle w:val="FirstParagraph"/>
      </w:pPr>
      <w:r>
        <w:t xml:space="preserve">Two DIRECTORIES, each holding</w:t>
      </w:r>
      <w:r>
        <w:t xml:space="preserve"> </w:t>
      </w:r>
      <w:r>
        <w:rPr>
          <w:rStyle w:val="VerbatimChar"/>
        </w:rPr>
        <w:t xml:space="preserve">mutant_a.sh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mutant_b.sh</w:t>
      </w:r>
      <w:r>
        <w:t xml:space="preserve"> </w:t>
      </w:r>
      <w:r>
        <w:t xml:space="preserve">(two real,</w:t>
      </w:r>
      <w:r>
        <w:t xml:space="preserve"> </w:t>
      </w:r>
      <w:r>
        <w:t xml:space="preserve">independently-written toy mutated gate scripts) + an</w:t>
      </w:r>
      <w:r>
        <w:t xml:space="preserve"> </w:t>
      </w:r>
      <w:r>
        <w:rPr>
          <w:rStyle w:val="VerbatimChar"/>
        </w:rPr>
        <w:t xml:space="preserve">expected</w:t>
      </w:r>
      <w:r>
        <w:t xml:space="preserve"> </w:t>
      </w:r>
      <w:r>
        <w:t xml:space="preserve">file whose</w:t>
      </w:r>
      <w:r>
        <w:t xml:space="preserve"> </w:t>
      </w:r>
      <w:r>
        <w:t xml:space="preserve">first line is</w:t>
      </w:r>
      <w:r>
        <w:t xml:space="preserve"> </w:t>
      </w:r>
      <w:r>
        <w:rPr>
          <w:rStyle w:val="VerbatimChar"/>
        </w:rPr>
        <w:t xml:space="preserve">DUPLICATE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mr_tce_duplicate</w:t>
      </w:r>
      <w:r>
        <w:t xml:space="preserve"> </w:t>
      </w:r>
      <w:r>
        <w:t xml:space="preserve">— the two scripts encode the SAME mutation, differing</w:t>
      </w:r>
      <w:r>
        <w:t xml:space="preserve"> </w:t>
      </w:r>
      <w:r>
        <w:t xml:space="preserve">only in comment placement / blank lines / indentation. After</w:t>
      </w:r>
      <w:r>
        <w:t xml:space="preserve"> </w:t>
      </w:r>
      <w:r>
        <w:t xml:space="preserve">comment/whitespace normalisation they are byte-identical.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mr_tce_distinct</w:t>
      </w:r>
      <w:r>
        <w:t xml:space="preserve"> </w:t>
      </w:r>
      <w:r>
        <w:t xml:space="preserve">— the two scripts encode GENUINELY DIFFERENT mutations</w:t>
      </w:r>
      <w:r>
        <w:t xml:space="preserve"> </w:t>
      </w:r>
      <w:r>
        <w:t xml:space="preserve">(different grep pattern). Normalisation must NOT collapse them (the</w:t>
      </w:r>
      <w:r>
        <w:t xml:space="preserve"> </w:t>
      </w:r>
      <w:r>
        <w:t xml:space="preserve">negative control proving the dedup rule does not over-merge).</w:t>
      </w:r>
    </w:p>
    <w:p>
      <w:pPr>
        <w:pStyle w:val="FirstParagraph"/>
      </w:pPr>
      <w:r>
        <w:rPr>
          <w:rStyle w:val="VerbatimChar"/>
        </w:rPr>
        <w:t xml:space="preserve">tce_normalize_ref.py</w:t>
      </w:r>
      <w:r>
        <w:t xml:space="preserve"> </w:t>
      </w:r>
      <w:r>
        <w:t xml:space="preserve">(</w:t>
      </w:r>
      <w:r>
        <w:rPr>
          <w:rStyle w:val="VerbatimChar"/>
        </w:rPr>
        <w:t xml:space="preserve">../lib/tce_normalize_ref.py</w:t>
      </w:r>
      <w:r>
        <w:t xml:space="preserve">) is this project's own</w:t>
      </w:r>
      <w:r>
        <w:t xml:space="preserve"> </w:t>
      </w:r>
      <w:r>
        <w:t xml:space="preserve">reference normaliser (strip comments outside quotes, collapse whitespace,</w:t>
      </w:r>
      <w:r>
        <w:t xml:space="preserve"> </w:t>
      </w:r>
      <w:r>
        <w:t xml:space="preserve">drop blank lines, SHA-256 the result), self-validated in the RED test</w:t>
      </w:r>
      <w:r>
        <w:t xml:space="preserve"> </w:t>
      </w:r>
      <w:r>
        <w:t xml:space="preserve">before any claim is made about the absent real tool's</w:t>
      </w:r>
      <w:r>
        <w:t xml:space="preserve"> </w:t>
      </w:r>
      <w:r>
        <w:rPr>
          <w:rStyle w:val="VerbatimChar"/>
        </w:rPr>
        <w:t xml:space="preserve">check-duplicate</w:t>
      </w:r>
      <w:r>
        <w:t xml:space="preserve"> </w:t>
      </w:r>
      <w:r>
        <w:t xml:space="preserve">subcommand.</w:t>
      </w:r>
    </w:p>
    <w:bookmarkEnd w:id="12"/>
    <w:bookmarkStart w:id="13" w:name="what-this-red-test-does-not-cover"/>
    <w:p>
      <w:pPr>
        <w:pStyle w:val="Heading2"/>
      </w:pPr>
      <w:r>
        <w:t xml:space="preserve">What this RED test does NOT cover</w:t>
      </w:r>
    </w:p>
    <w:p>
      <w:pPr>
        <w:pStyle w:val="Compact"/>
        <w:numPr>
          <w:ilvl w:val="0"/>
          <w:numId w:val="1003"/>
        </w:numPr>
      </w:pPr>
      <w:r>
        <w:t xml:space="preserve">The mutation cache's PURGE/eviction policy (out of scope for T057; no</w:t>
      </w:r>
      <w:r>
        <w:t xml:space="preserve"> </w:t>
      </w:r>
      <w:r>
        <w:t xml:space="preserve">plan.md text names one for T-C07).</w:t>
      </w:r>
    </w:p>
    <w:p>
      <w:pPr>
        <w:pStyle w:val="Compact"/>
        <w:numPr>
          <w:ilvl w:val="0"/>
          <w:numId w:val="1003"/>
        </w:numPr>
      </w:pPr>
      <w:r>
        <w:t xml:space="preserve">The interaction between mutation-reuse and the flake ledger (T-C09,</w:t>
      </w:r>
      <w:r>
        <w:t xml:space="preserve"> </w:t>
      </w:r>
      <w:r>
        <w:rPr>
          <w:rStyle w:val="VerbatimChar"/>
        </w:rPr>
        <w:t xml:space="preserve">flake_ledger.py</w:t>
      </w:r>
      <w:r>
        <w:t xml:space="preserve">) — DEC-23 states mutations are "sampling/prediction</w:t>
      </w:r>
      <w:r>
        <w:t xml:space="preserve"> </w:t>
      </w:r>
      <w:r>
        <w:t xml:space="preserve">confined to the nightly drift lane (T-C10)" but does not name a specific</w:t>
      </w:r>
      <w:r>
        <w:t xml:space="preserve"> </w:t>
      </w:r>
      <w:r>
        <w:t xml:space="preserve">flake-and-reuse interaction fixture; left to T-C09's own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test_flake_ledger_red.sh</w:t>
      </w:r>
      <w:r>
        <w:t xml:space="preserve">, T059) per this project's</w:t>
      </w:r>
      <w:r>
        <w:t xml:space="preserve"> </w:t>
      </w:r>
      <w:r>
        <w:rPr>
          <w:rStyle w:val="VerbatimChar"/>
        </w:rPr>
        <w:t xml:space="preserve">producer != oracle</w:t>
      </w:r>
      <w:r>
        <w:t xml:space="preserve"> </w:t>
      </w:r>
      <w:r>
        <w:t xml:space="preserve">scope-separation discipline (§11.4.240) — this file's scope is DEC-23's</w:t>
      </w:r>
      <w:r>
        <w:t xml:space="preserve"> </w:t>
      </w:r>
      <w:r>
        <w:t xml:space="preserve">reuse/dedup rule alone.</w:t>
      </w:r>
    </w:p>
    <w:p>
      <w:pPr>
        <w:pStyle w:val="Compact"/>
        <w:numPr>
          <w:ilvl w:val="0"/>
          <w:numId w:val="1003"/>
        </w:numPr>
      </w:pPr>
      <w:r>
        <w:t xml:space="preserve">The CLI wire format below is UNCONFIRMED by any contracts/*.md file (none</w:t>
      </w:r>
      <w:r>
        <w:t xml:space="preserve"> </w:t>
      </w:r>
      <w:r>
        <w:t xml:space="preserve">exists for T-C07 at the time this file was written — confirmed by a real</w:t>
      </w:r>
      <w:r>
        <w:t xml:space="preserve"> </w:t>
      </w:r>
      <w:r>
        <w:t xml:space="preserve">directory listing, not assumed) and is DEFINED here, binding-if-adopted,</w:t>
      </w:r>
      <w:r>
        <w:t xml:space="preserve"> </w:t>
      </w:r>
      <w:r>
        <w:t xml:space="preserve">per this project's established house precedent (test_verdict_cache_red.sh's</w:t>
      </w:r>
      <w:r>
        <w:t xml:space="preserve"> </w:t>
      </w:r>
      <w:r>
        <w:t xml:space="preserve">header comment; fixtures/verdict_cache/README.md).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2026-10-11T22:28:56Z</dcterms:created>
  <dcterms:modified xsi:type="dcterms:W3CDTF">2026-10-11T22:28:56Z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