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r_bad_survived_never_reused-golden-bad"/>
    <w:p>
      <w:pPr>
        <w:pStyle w:val="Heading1"/>
      </w:pPr>
      <w:r>
        <w:t xml:space="preserve">mr_bad_survived_never_reused (golden-bad)</w:t>
      </w:r>
    </w:p>
    <w:p>
      <w:pPr>
        <w:pStyle w:val="FirstParagraph"/>
      </w:pPr>
      <w:r>
        <w:t xml:space="preserve">Every key component is byte-identical between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(verdict=SURVIVED) and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exactly like mr_good_killed_reuse -- but the stored verdict is SURVIVED, not KILLED. DEC-23: 'reuse KILLED only (SURVIVED is always re-examined)' -- a SURVIVED verdict must NEVER be servable by get, regardless of key match. The generic key-diff loop in the RED test's Section B would wrongly predict HIT here (the keys DO match); this scenario is asserted by name, separately, exactly as T051's vc_admission_skip_never_cached fixture is (§11.4.273: caught by running the real rule, not by assuming every unchanged-key fixture behaves the same).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MISS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2026-10-11T22:28:50Z</dcterms:created>
  <dcterms:modified xsi:type="dcterms:W3CDTF">2026-10-11T22:28:50Z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