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c27870c5a82fd7b71e8eb9559d378b2e91818e"/>
    <w:p>
      <w:pPr>
        <w:pStyle w:val="Heading1"/>
      </w:pPr>
      <w:r>
        <w:t xml:space="preserve">mr_flip_patch (control needle: different mutation)</w:t>
      </w:r>
    </w:p>
    <w:p>
      <w:pPr>
        <w:pStyle w:val="FirstParagraph"/>
      </w:pPr>
      <w:r>
        <w:t xml:space="preserve">get asks about a DIFFERENT mutation patch (mutation_patch_v2.diff, a genuinely different defect proof, mutation_id=M-002) than the one put stored a verdict for (mutation_patch.diff, M-001). Proves the cache is keyed per-mutation, not merely per-gate -- two different mutations of the same gate must never share a cached verdict.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MISS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2026-10-11T22:28:52Z</dcterms:created>
  <dcterms:modified xsi:type="dcterms:W3CDTF">2026-10-11T22:28:52Z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